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3F71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                                </w:t>
      </w:r>
      <w:bookmarkStart w:id="0" w:name="_Hlk210377399"/>
      <w:r w:rsidRPr="00ED4ED4"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  <w:t>ROMÂNIA</w:t>
      </w:r>
    </w:p>
    <w:p w14:paraId="750A7C62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                     JUDEȚUL TELEORMAN</w:t>
      </w:r>
    </w:p>
    <w:p w14:paraId="2E52AD7E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CONSILIUL LOCAL   AL COMUNEI SFINȚEȘTI</w:t>
      </w:r>
    </w:p>
    <w:p w14:paraId="34D69836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libri" w:eastAsia="Arial Black" w:hAnsi="Calibri" w:cs="Calibri"/>
          <w:kern w:val="0"/>
          <w:sz w:val="20"/>
          <w:szCs w:val="20"/>
          <w:lang w:val="es-CO"/>
        </w:rPr>
      </w:pPr>
      <w:r w:rsidRPr="00ED4ED4"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   COD DE INREGISTRARE FISCALĂ : 6692024</w:t>
      </w:r>
      <w:r w:rsidRPr="00ED4ED4">
        <w:rPr>
          <w:rFonts w:ascii="Calibri" w:eastAsia="Arial Black" w:hAnsi="Calibri" w:cs="Calibri"/>
          <w:kern w:val="0"/>
          <w:sz w:val="20"/>
          <w:szCs w:val="20"/>
          <w:lang w:val="es-CO"/>
        </w:rPr>
        <w:t xml:space="preserve">           </w:t>
      </w:r>
    </w:p>
    <w:p w14:paraId="279A1680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eastAsia="Arial Black" w:hAnsi="Calibri" w:cs="Calibri"/>
          <w:kern w:val="0"/>
          <w:sz w:val="20"/>
          <w:szCs w:val="20"/>
          <w:lang w:val="es-CO"/>
        </w:rPr>
      </w:pPr>
    </w:p>
    <w:p w14:paraId="5D5DFFE5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eastAsia="Arial Black" w:hAnsi="Calibri" w:cs="Calibri"/>
          <w:kern w:val="0"/>
          <w:sz w:val="20"/>
          <w:szCs w:val="20"/>
          <w:lang w:val="es-CO"/>
        </w:rPr>
      </w:pPr>
    </w:p>
    <w:p w14:paraId="7A2ED465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                              H O T Ă R Â R E            </w:t>
      </w:r>
    </w:p>
    <w:p w14:paraId="71972F95" w14:textId="77777777" w:rsidR="00ED4ED4" w:rsidRPr="00ED4ED4" w:rsidRDefault="00ED4ED4" w:rsidP="00ED4ED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Calibri" w:eastAsia="Arial Black" w:hAnsi="Calibri" w:cs="Calibri"/>
          <w:b/>
          <w:bCs/>
          <w:kern w:val="0"/>
          <w:lang w:val="es-CO"/>
          <w14:ligatures w14:val="none"/>
        </w:rPr>
        <w:t xml:space="preserve">Privind : </w:t>
      </w:r>
      <w:r w:rsidRPr="00ED4E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 xml:space="preserve">implementarea proiectului „ </w:t>
      </w:r>
      <w:r w:rsidRPr="00ED4ED4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ro-RO"/>
          <w14:ligatures w14:val="none"/>
        </w:rPr>
        <w:t xml:space="preserve">ACHIZITIE DE UTILAJE PENTRU DEZVOLTAREA CAPACITATII DE GESTIONARE A SERVICIILOR PUBLICE  DIN COMUNA SFINTESTI , JUDETUL TELEORMAN </w:t>
      </w:r>
      <w:r w:rsidRPr="00ED4E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INTERVENTIA DR 36 – LEADER.</w:t>
      </w:r>
    </w:p>
    <w:p w14:paraId="500961F0" w14:textId="77777777" w:rsidR="00ED4ED4" w:rsidRPr="00ED4ED4" w:rsidRDefault="00ED4ED4" w:rsidP="00ED4ED4">
      <w:pPr>
        <w:spacing w:after="0" w:line="240" w:lineRule="auto"/>
        <w:rPr>
          <w:rFonts w:ascii="Times New Roman" w:eastAsia="Batang" w:hAnsi="Times New Roman" w:cs="Times New Roman"/>
          <w:b/>
          <w:bCs/>
          <w:kern w:val="0"/>
          <w:sz w:val="24"/>
          <w:szCs w:val="24"/>
          <w:lang w:val="ro-RO"/>
          <w14:ligatures w14:val="none"/>
        </w:rPr>
      </w:pPr>
    </w:p>
    <w:p w14:paraId="12FF02F1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Arial Black" w:hAnsi="Times New Roman" w:cs="Times New Roman"/>
          <w:b/>
          <w:bCs/>
          <w:kern w:val="0"/>
          <w:sz w:val="24"/>
          <w:szCs w:val="24"/>
          <w:lang w:val="es-CO"/>
        </w:rPr>
        <w:t xml:space="preserve"> </w:t>
      </w:r>
    </w:p>
    <w:p w14:paraId="5C20875B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es-CO"/>
          <w14:ligatures w14:val="none"/>
        </w:rPr>
        <w:t xml:space="preserve">   Consiliul Local al comunei SFINTESTI, Judetul TELEORMAN,   întrunit în ședință ordinară în data de 09.10.2025, conform dispoziției de convocare nr.169  din 03.10.2025,având in v</w:t>
      </w:r>
      <w:proofErr w:type="spellStart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edere</w:t>
      </w:r>
      <w:proofErr w:type="spellEnd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temeiurile juridice, respectiv prevederile:</w:t>
      </w:r>
    </w:p>
    <w:bookmarkEnd w:id="0"/>
    <w:p w14:paraId="66F5838D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-art. 120 și art. 121 alin. (1) și (2) din Constituția României, republicată;</w:t>
      </w:r>
    </w:p>
    <w:p w14:paraId="73C49BB9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>-art. 8 și 9 din Carta europeană a autonomiei locale, adoptată la Strasbourg la 15 octombrie 1985, ratificată prin Legea nr. 199/1997;</w:t>
      </w:r>
    </w:p>
    <w:p w14:paraId="589710CD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-art. 7 alin. (2) și art. 1166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și următoarele din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Legea nr. 287/2009 privind Codul civil, republicată, cu modificările ulterioare, referitoare la contracte sau convenții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>;</w:t>
      </w:r>
    </w:p>
    <w:p w14:paraId="366C6768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>-art. 20 și 21 din Legea cadru a descentralizării nr. 195/2006;</w:t>
      </w:r>
    </w:p>
    <w:p w14:paraId="77C7DFF0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-art. 36 alin. (2) lit. b) și d) din Legea administrației publice locale nr. 215/2001, republicată, cu modificările și completările ulterioare; </w:t>
      </w:r>
    </w:p>
    <w:p w14:paraId="49E6EE40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-Legea nr. 273/2006 privind finanțele publice locale, cu modificările și completările ulterioare;</w:t>
      </w:r>
    </w:p>
    <w:p w14:paraId="3B4EF507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   Ținând seama de:</w:t>
      </w:r>
    </w:p>
    <w:p w14:paraId="5F1AD6F9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- prevederile art. 43 alin. (4) din Legea nr. 24/2000 privind normele de tehnică legislativă pentru elaborarea actelor normative, republicată, cu modificările și completările ulterioare, </w:t>
      </w:r>
    </w:p>
    <w:p w14:paraId="23B5E899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-</w:t>
      </w:r>
      <w:r w:rsidRPr="00ED4ED4">
        <w:rPr>
          <w:rFonts w:ascii="Arial" w:eastAsia="Calibri" w:hAnsi="Arial" w:cs="Arial"/>
          <w:kern w:val="0"/>
          <w:lang w:val="ro-RO"/>
          <w14:ligatures w14:val="none"/>
        </w:rPr>
        <w:t xml:space="preserve">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prevederile art. 129 alin. (1) și (2) lit. b) coroborat cu alineat (4), litera d), alin 7 </w:t>
      </w:r>
      <w:proofErr w:type="spellStart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lit</w:t>
      </w:r>
      <w:proofErr w:type="spellEnd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 xml:space="preserve"> k) din O.U.G. nr. 57/2019 privind Codul Administrativ, cu modificările și completările ulterioare;</w:t>
      </w:r>
    </w:p>
    <w:p w14:paraId="14A8FCC4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    Luând act de:</w:t>
      </w:r>
    </w:p>
    <w:p w14:paraId="31F5B41C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bookmarkStart w:id="1" w:name="_Hlk210378141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-referatul de aprobare prezentat de către primarul comunei Sfințești , în calitatea sa de inițiator, înregistrat cu nr. 3382/04.09.2025, prin care se susține necesitatea și oportunitatea proiectului, constituind un aport pentru dezvoltarea colectivității;</w:t>
      </w:r>
    </w:p>
    <w:p w14:paraId="3A0B65E5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-raportul compartimentului de resort din cadrul aparatului de specialitate al primarului, înregistrat cu nr.3383/04.09.2025 , prin care se motivează, în drept și în fapt,  necesitatea și oportunitatea proiectului, constituind un aport pentru dezvoltarea colectivității;</w:t>
      </w:r>
    </w:p>
    <w:p w14:paraId="6250E638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-raportul comisiei de specialitate a Consiliului Local Sfințești, nr.30 din 03.10.2025 ,</w:t>
      </w:r>
    </w:p>
    <w:p w14:paraId="549CDEFD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bookmarkStart w:id="2" w:name="_Hlk210378202"/>
      <w:bookmarkEnd w:id="1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In temeiul prevederilor art. 139 alin.(1) , art. 196 alin.(1) </w:t>
      </w:r>
      <w:proofErr w:type="spellStart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lit.b</w:t>
      </w:r>
      <w:proofErr w:type="spellEnd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) , art. 243 alin.(1) </w:t>
      </w:r>
      <w:proofErr w:type="spellStart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lit.a</w:t>
      </w:r>
      <w:proofErr w:type="spellEnd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) din OUG nr. 57/2019 – privind Codul Administrativ , cu modificările și completările ulterioare , </w:t>
      </w:r>
    </w:p>
    <w:p w14:paraId="2123784A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8CA6355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ro-RO"/>
        </w:rPr>
      </w:pPr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</w:t>
      </w:r>
      <w:r w:rsidRPr="00ED4E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Pr="00ED4E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 w:eastAsia="ro-RO"/>
        </w:rPr>
        <w:t xml:space="preserve">Consiliul Local al comunei Sfințești, județul Teleorman  adoptă prezenta hotărâre: </w:t>
      </w:r>
    </w:p>
    <w:p w14:paraId="3751936A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</w:pPr>
    </w:p>
    <w:bookmarkEnd w:id="2"/>
    <w:p w14:paraId="4F9113B0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Art. 1. –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 xml:space="preserve">Se aproba necesitatea, oportunitatea, </w:t>
      </w:r>
      <w:proofErr w:type="spellStart"/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>potentialul</w:t>
      </w:r>
      <w:proofErr w:type="spellEnd"/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 xml:space="preserve"> economic si implementarea proiectului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„ </w:t>
      </w:r>
      <w:r w:rsidRPr="00ED4ED4">
        <w:rPr>
          <w:rFonts w:ascii="Times New Roman" w:eastAsia="Calibri" w:hAnsi="Times New Roman" w:cs="Times New Roman"/>
          <w:i/>
          <w:kern w:val="0"/>
          <w:sz w:val="24"/>
          <w:szCs w:val="24"/>
          <w:lang w:val="ro-RO" w:eastAsia="zh-CN"/>
          <w14:ligatures w14:val="none"/>
        </w:rPr>
        <w:t xml:space="preserve">ACHIZITIE DE UTILAJE PENTRU DEZVOLTAREA CAPACITATII DE GESTIONARE A SERVICIILOR PUBLICE  DIN COMUNA SFINTESTI , JUDETUL TELEORMAN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>”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, denumit în continuare Proiectul ce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urmeaza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a fi depus spre evaluare si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selectie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in cadrul apelului de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selectie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lansat de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es-CO"/>
          <w14:ligatures w14:val="none"/>
        </w:rPr>
        <w:t>Asociația ”Grup de Acțiune Locală Valea Clăniței”</w:t>
      </w:r>
      <w:r w:rsidRPr="00ED4ED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ro-RO" w:eastAsia="zh-CN"/>
          <w14:ligatures w14:val="none"/>
        </w:rPr>
        <w:t xml:space="preserve">,  </w:t>
      </w:r>
      <w:r w:rsidRPr="00ED4ED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o-RO" w:eastAsia="zh-CN"/>
          <w14:ligatures w14:val="none"/>
        </w:rPr>
        <w:t xml:space="preserve">prin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es-CO"/>
          <w14:ligatures w14:val="none"/>
        </w:rPr>
        <w:lastRenderedPageBreak/>
        <w:t>Intervenția DR 36 LEADER-Dezvoltarea locală plasată sub responsabilitatea comunității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,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 L808 -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es-CO"/>
          <w14:ligatures w14:val="none"/>
        </w:rPr>
        <w:t>Suport pentru dezvoltare locală orientată spre nevoi comunitare</w:t>
      </w:r>
    </w:p>
    <w:p w14:paraId="0BAD1A09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(2)  Numărul de locuitori ce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>urmeaza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a fi deserviți de aceasta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>investitie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este 1035 persoane  ,             </w:t>
      </w:r>
    </w:p>
    <w:p w14:paraId="0ACC8F9C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(3)</w:t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 xml:space="preserve"> 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Cheltuielile aferente Proiectului, sunt conform bugetului proiectului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>prevazut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in Anexa, si se prevăd în bugetul local pentru perioada de realizare a investiției, în cazul obținerii finanțării prin Programul National Strategic 2021-2027  - DR 36 – LEADER , potrivit legii. </w:t>
      </w:r>
    </w:p>
    <w:p w14:paraId="64ADF9F5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 xml:space="preserve">Art. 2. 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– 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 xml:space="preserve">Se aproba indicatorii </w:t>
      </w:r>
      <w:proofErr w:type="spellStart"/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>tehnico</w:t>
      </w:r>
      <w:proofErr w:type="spellEnd"/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>-economici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 conform anexei ce face parte din prezenta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hotarare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si cheltuielile aferente Proiectului se prevăd în bugetul local pentru perioada de realizare a investiției, în cazul obținerii finanțării prin 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Programul National Strategic 2021-2027  - DR 36 – LEADER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>., potrivit legii.</w:t>
      </w:r>
    </w:p>
    <w:p w14:paraId="015B253E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Art. 3. –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 xml:space="preserve">Comuna </w:t>
      </w:r>
      <w:proofErr w:type="spellStart"/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>Sfintesti</w:t>
      </w:r>
      <w:proofErr w:type="spellEnd"/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 xml:space="preserve">  se obligă:</w:t>
      </w:r>
    </w:p>
    <w:p w14:paraId="20B06AF5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1.Să asigure resursele financiare necesare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implementarii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optime a proiectului in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conditiile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rambursarii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/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decontarii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ulterioare a cheltuielilor din fonduri PNS , DR 36 LEADER</w:t>
      </w:r>
    </w:p>
    <w:p w14:paraId="2B03EBA9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2.Să asigure resursele financiare necesare acoperirii cheltuielilor de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mentenanta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a investiției (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intretinere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,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reparatii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curente,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reparatii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periodice) pe o perioadă de minimum 5 ani de la data efectuării ultimei plăți în cadrul Proiectului.</w:t>
      </w:r>
    </w:p>
    <w:p w14:paraId="50746947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3.Să asigure resursele financiare pentru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finantarea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cheltuielilor conexe, neeligibile,  ce apar in implementarea proiectului.</w:t>
      </w:r>
    </w:p>
    <w:p w14:paraId="1CF7B7CD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4.Obligatiile financiare asumate la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pct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1-3 sunt cuprinse, in mod expres, in bugetele anuale ale comunei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Sfintesti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 ,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Judetul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Teleorman.</w:t>
      </w:r>
    </w:p>
    <w:p w14:paraId="6652FDF3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color w:val="000000"/>
          <w:spacing w:val="3"/>
          <w:kern w:val="0"/>
          <w:sz w:val="24"/>
          <w:szCs w:val="24"/>
          <w:lang w:val="es-CO" w:eastAsia="zh-CN"/>
          <w14:ligatures w14:val="none"/>
        </w:rPr>
        <w:t>5.Sa asigure exploatarea utilajelor in conformitate cu mentiunile din documentele tehnice de exploatare si garantie a utilajelor si in conformitate cu reglementarile si legislatia  in vigoare</w:t>
      </w:r>
    </w:p>
    <w:p w14:paraId="18E54240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6.Să nu aducă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modificari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sau sa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instraineze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utilajul care face obiectul proiectului, pe o perioada de 5 ani de la ultima plata in cadrul Proiectului.</w:t>
      </w:r>
    </w:p>
    <w:p w14:paraId="2E2B451A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Proiectul de </w:t>
      </w:r>
      <w:proofErr w:type="spellStart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investitii</w:t>
      </w:r>
      <w:proofErr w:type="spellEnd"/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 xml:space="preserve">  nu va fi generator de venit.</w:t>
      </w:r>
    </w:p>
    <w:p w14:paraId="4D06C498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sk-SK" w:eastAsia="ro-RO"/>
          <w14:ligatures w14:val="none"/>
        </w:rPr>
        <w:t xml:space="preserve">Art. 4. -  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sk-SK" w:eastAsia="zh-CN"/>
          <w14:ligatures w14:val="none"/>
        </w:rPr>
        <w:t xml:space="preserve">Reprezentantul legal al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proiectului, pentru </w:t>
      </w:r>
      <w:proofErr w:type="spellStart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>relatia</w:t>
      </w:r>
      <w:proofErr w:type="spellEnd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cu AFIR in derularea proiectului este domnul CEAUSU MARIAN ANISOR  - </w:t>
      </w:r>
      <w:proofErr w:type="spellStart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>avand</w:t>
      </w:r>
      <w:proofErr w:type="spellEnd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</w:t>
      </w:r>
      <w:proofErr w:type="spellStart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>functia</w:t>
      </w:r>
      <w:proofErr w:type="spellEnd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de primar  , 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sk-SK" w:eastAsia="zh-CN"/>
          <w14:ligatures w14:val="none"/>
        </w:rPr>
        <w:t xml:space="preserve">care va lua toate masurile necesare implementarii prevederilor prezentei hotarari. </w:t>
      </w:r>
    </w:p>
    <w:p w14:paraId="17B0E65E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Art. 5. -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A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ducerea la îndeplinire a prezentei hotărâri se asigură de către primarul comunei </w:t>
      </w:r>
      <w:proofErr w:type="spellStart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>Sfintesti</w:t>
      </w:r>
      <w:proofErr w:type="spellEnd"/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 .</w:t>
      </w:r>
    </w:p>
    <w:p w14:paraId="7882743E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</w:pPr>
      <w:bookmarkStart w:id="3" w:name="_Hlk210379596"/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Art. 6. -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r w:rsidRPr="00ED4ED4">
        <w:rPr>
          <w:rFonts w:ascii="Times New Roman" w:eastAsia="Calibri" w:hAnsi="Times New Roman" w:cs="Times New Roman"/>
          <w:bCs/>
          <w:kern w:val="0"/>
          <w:sz w:val="24"/>
          <w:szCs w:val="24"/>
          <w:lang w:val="ro-RO" w:eastAsia="zh-CN"/>
          <w14:ligatures w14:val="none"/>
        </w:rPr>
        <w:t>P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rezenta hotărâre se comunică, prin intermediul secretarului general al comunei, în termenul prevăzut de lege, primarului comunei, prefectului județului Teleorman si GAL 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es-CO"/>
          <w14:ligatures w14:val="none"/>
        </w:rPr>
        <w:t>Valea Clăniței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și se aduce la cunoștință publică prin afișarea la sediul primăriei, precum și pe pagina de internet http: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pe pagina de internet 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 w:eastAsia="ro-RO"/>
          <w14:ligatures w14:val="none"/>
        </w:rPr>
        <w:t>www.sfintesti.ro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</w:t>
      </w:r>
    </w:p>
    <w:p w14:paraId="3FB27565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3C4E7BBC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29ED9F2F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Calibri" w:eastAsia="Arial" w:hAnsi="Calibri" w:cs="Times New Roman"/>
          <w:b/>
          <w:kern w:val="0"/>
          <w:sz w:val="24"/>
          <w:szCs w:val="24"/>
          <w:lang w:val="es-CO"/>
          <w14:ligatures w14:val="none"/>
        </w:rPr>
        <w:t xml:space="preserve">           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es-CO"/>
          <w14:ligatures w14:val="none"/>
        </w:rPr>
        <w:t>PREȘEDINTE DE ȘEDINȚĂ ,</w:t>
      </w:r>
    </w:p>
    <w:p w14:paraId="1C009748" w14:textId="77777777" w:rsidR="00ED4ED4" w:rsidRPr="00ED4ED4" w:rsidRDefault="00ED4ED4" w:rsidP="00ED4ED4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D4ED4"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PINTILII GABRIEL                                   CONTRASEMNEAZĂ,</w:t>
      </w:r>
    </w:p>
    <w:p w14:paraId="5DB86A63" w14:textId="77777777" w:rsidR="00ED4ED4" w:rsidRPr="00ED4ED4" w:rsidRDefault="00ED4ED4" w:rsidP="00ED4ED4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D4ED4"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SECRETAR GENERAL,</w:t>
      </w:r>
    </w:p>
    <w:p w14:paraId="06D651E1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FLORESCU LILIANA-IONELA</w:t>
      </w:r>
    </w:p>
    <w:p w14:paraId="670FC627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6331C6D1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07A53B69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Comuna SFINTESTI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ab/>
        <w:t xml:space="preserve">                         </w:t>
      </w:r>
    </w:p>
    <w:p w14:paraId="68E4EBCE" w14:textId="1C1FAA32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Nr.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36</w:t>
      </w: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din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09.10.2025</w:t>
      </w:r>
    </w:p>
    <w:p w14:paraId="313734AC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CO"/>
          <w14:ligatures w14:val="none"/>
        </w:rPr>
      </w:pPr>
      <w:r w:rsidRPr="00ED4ED4">
        <w:rPr>
          <w:rFonts w:ascii="Times New Roman" w:eastAsia="Times New Roman" w:hAnsi="Times New Roman" w:cs="Times New Roman"/>
          <w:kern w:val="0"/>
          <w:sz w:val="20"/>
          <w:szCs w:val="20"/>
          <w:lang w:val="es-CO"/>
          <w14:ligatures w14:val="none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2DEC8779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CO"/>
          <w14:ligatures w14:val="none"/>
        </w:rPr>
      </w:pPr>
    </w:p>
    <w:bookmarkEnd w:id="3"/>
    <w:p w14:paraId="6615F064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color w:val="000000"/>
          <w:spacing w:val="9"/>
          <w:kern w:val="0"/>
          <w:sz w:val="24"/>
          <w:szCs w:val="24"/>
          <w:lang w:val="es-CO" w:eastAsia="zh-CN"/>
          <w14:ligatures w14:val="none"/>
        </w:rPr>
        <w:lastRenderedPageBreak/>
        <w:t xml:space="preserve">Consiliul Local  Sfintesti </w:t>
      </w:r>
    </w:p>
    <w:p w14:paraId="72B41872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</w:pPr>
      <w:proofErr w:type="spellStart"/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>Judetul</w:t>
      </w:r>
      <w:proofErr w:type="spellEnd"/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 xml:space="preserve">  Teleorman</w:t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  <w:t>ANEXA</w:t>
      </w:r>
    </w:p>
    <w:p w14:paraId="021AD1BE" w14:textId="0F0030B2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ab/>
        <w:t xml:space="preserve">La H. C. L. nr.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>36</w:t>
      </w: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>/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 xml:space="preserve">09.10.2025 </w:t>
      </w:r>
    </w:p>
    <w:p w14:paraId="59ED111B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</w:pPr>
    </w:p>
    <w:p w14:paraId="76B623A8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</w:pPr>
    </w:p>
    <w:p w14:paraId="4482D59F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 xml:space="preserve">                             PRINCIPALII INDICATORI TEHNICO-ECONOMICI</w:t>
      </w:r>
    </w:p>
    <w:p w14:paraId="6A4A1CAF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o-RO" w:eastAsia="zh-CN"/>
          <w14:ligatures w14:val="none"/>
        </w:rPr>
        <w:t xml:space="preserve">            AI PROIECTULUI </w:t>
      </w:r>
      <w:r w:rsidRPr="00ED4ED4">
        <w:rPr>
          <w:rFonts w:ascii="Times New Roman" w:eastAsia="Calibri" w:hAnsi="Times New Roman" w:cs="Times New Roman"/>
          <w:b/>
          <w:bCs/>
          <w:color w:val="000000"/>
          <w:spacing w:val="3"/>
          <w:kern w:val="0"/>
          <w:sz w:val="24"/>
          <w:szCs w:val="24"/>
          <w:lang w:val="es-CO" w:eastAsia="zh-CN"/>
          <w14:ligatures w14:val="none"/>
        </w:rPr>
        <w:t xml:space="preserve"> DE INVESTITII ” </w:t>
      </w:r>
      <w:r w:rsidRPr="00ED4ED4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ro-RO" w:eastAsia="zh-CN"/>
          <w14:ligatures w14:val="none"/>
        </w:rPr>
        <w:t xml:space="preserve">ACHIZITIE DE UTILAJE PENTRU DEZVOLTAREA CAPACITATII DE GESTIONARE A SERVICIILOR PUBLICE  DIN </w:t>
      </w:r>
    </w:p>
    <w:p w14:paraId="383B634E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9"/>
          <w:kern w:val="0"/>
          <w:sz w:val="24"/>
          <w:szCs w:val="24"/>
          <w:lang w:val="es-CO" w:eastAsia="zh-CN"/>
          <w14:ligatures w14:val="none"/>
        </w:rPr>
      </w:pPr>
      <w:r w:rsidRPr="00ED4ED4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:lang w:val="ro-RO" w:eastAsia="zh-CN"/>
          <w14:ligatures w14:val="none"/>
        </w:rPr>
        <w:t xml:space="preserve">                                    COMUNA SFINTESTI , JUDETUL TELEORMAN </w:t>
      </w:r>
      <w:r w:rsidRPr="00ED4ED4">
        <w:rPr>
          <w:rFonts w:ascii="Times New Roman" w:eastAsia="Calibri" w:hAnsi="Times New Roman" w:cs="Times New Roman"/>
          <w:b/>
          <w:bCs/>
          <w:color w:val="000000"/>
          <w:spacing w:val="9"/>
          <w:kern w:val="0"/>
          <w:sz w:val="24"/>
          <w:szCs w:val="24"/>
          <w:lang w:val="es-CO" w:eastAsia="zh-CN"/>
          <w14:ligatures w14:val="none"/>
        </w:rPr>
        <w:t>“</w:t>
      </w:r>
    </w:p>
    <w:p w14:paraId="595D793B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9"/>
          <w:kern w:val="0"/>
          <w:sz w:val="24"/>
          <w:szCs w:val="24"/>
          <w:lang w:val="es-CO" w:eastAsia="zh-CN"/>
          <w14:ligatures w14:val="none"/>
        </w:rPr>
      </w:pPr>
    </w:p>
    <w:p w14:paraId="7200BABA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9"/>
          <w:kern w:val="0"/>
          <w:sz w:val="24"/>
          <w:szCs w:val="24"/>
          <w:lang w:val="es-CO" w:eastAsia="zh-CN"/>
          <w14:ligatures w14:val="none"/>
        </w:rPr>
      </w:pPr>
    </w:p>
    <w:p w14:paraId="210859CC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 w:eastAsia="zh-CN"/>
        </w:rPr>
        <w:t xml:space="preserve"> </w:t>
      </w: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  <w:t>Principalii indicatori tehnico-economici ai investiţiei</w:t>
      </w:r>
    </w:p>
    <w:p w14:paraId="5869B40F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</w:pPr>
    </w:p>
    <w:p w14:paraId="6A2D9231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1.1 INDICATORI TEHNICI</w:t>
      </w:r>
    </w:p>
    <w:p w14:paraId="714E4D78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left="-567" w:firstLine="851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</w:rPr>
        <w:t xml:space="preserve">CARACTERISTICILE ECHIPAMENTELOR  PROPUSE PENTRU ACHIZITIONARE </w:t>
      </w:r>
    </w:p>
    <w:p w14:paraId="63FEF578" w14:textId="77777777" w:rsidR="00ED4ED4" w:rsidRPr="00ED4ED4" w:rsidRDefault="00ED4ED4" w:rsidP="00ED4ED4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o-RO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CARACTERISTICI TEHNICE TRACTOR</w:t>
      </w:r>
    </w:p>
    <w:p w14:paraId="471BE69E" w14:textId="77777777" w:rsidR="00ED4ED4" w:rsidRPr="00ED4ED4" w:rsidRDefault="00ED4ED4" w:rsidP="00ED4ED4">
      <w:pPr>
        <w:widowControl w:val="0"/>
        <w:shd w:val="clear" w:color="auto" w:fill="FFFFFF"/>
        <w:tabs>
          <w:tab w:val="center" w:pos="284"/>
          <w:tab w:val="center" w:pos="4536"/>
          <w:tab w:val="right" w:pos="9072"/>
        </w:tabs>
        <w:suppressAutoHyphens/>
        <w:autoSpaceDE w:val="0"/>
        <w:autoSpaceDN w:val="0"/>
        <w:adjustRightInd w:val="0"/>
        <w:ind w:left="71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</w:pPr>
      <w:r w:rsidRPr="00ED4ED4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ro-RO" w:eastAsia="zh-CN"/>
          <w14:ligatures w14:val="none"/>
        </w:rPr>
        <w:t>Caracteristici tehnice minimale</w:t>
      </w:r>
      <w:r w:rsidRPr="00ED4ED4"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  <w:t xml:space="preserve"> :</w:t>
      </w:r>
    </w:p>
    <w:p w14:paraId="146B1611" w14:textId="77777777" w:rsidR="00ED4ED4" w:rsidRPr="00ED4ED4" w:rsidRDefault="00ED4ED4" w:rsidP="00ED4ED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Norma de </w:t>
      </w:r>
      <w:proofErr w:type="spellStart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>poluare</w:t>
      </w:r>
      <w:proofErr w:type="spellEnd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: Stage V; </w:t>
      </w:r>
    </w:p>
    <w:p w14:paraId="6B3A3568" w14:textId="77777777" w:rsidR="00ED4ED4" w:rsidRPr="00ED4ED4" w:rsidRDefault="00ED4ED4" w:rsidP="00ED4ED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proofErr w:type="spellStart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>Putere</w:t>
      </w:r>
      <w:proofErr w:type="spellEnd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>nominala</w:t>
      </w:r>
      <w:proofErr w:type="spellEnd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(CP):75 – 120 CP ; </w:t>
      </w:r>
    </w:p>
    <w:p w14:paraId="331FCF91" w14:textId="77777777" w:rsidR="00ED4ED4" w:rsidRPr="00ED4ED4" w:rsidRDefault="00ED4ED4" w:rsidP="00ED4ED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ab/>
        <w:t>2</w:t>
      </w: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  <w:t>.CARACTERISTICI TEHNICE INCARCATOR FRONTAL</w:t>
      </w:r>
    </w:p>
    <w:p w14:paraId="666AC005" w14:textId="77777777" w:rsidR="00ED4ED4" w:rsidRPr="00ED4ED4" w:rsidRDefault="00ED4ED4" w:rsidP="00ED4ED4">
      <w:pPr>
        <w:widowControl w:val="0"/>
        <w:shd w:val="clear" w:color="auto" w:fill="FFFFFF"/>
        <w:tabs>
          <w:tab w:val="left" w:pos="284"/>
          <w:tab w:val="left" w:pos="1808"/>
        </w:tabs>
        <w:autoSpaceDE w:val="0"/>
        <w:autoSpaceDN w:val="0"/>
        <w:adjustRightInd w:val="0"/>
        <w:spacing w:after="0" w:line="240" w:lineRule="auto"/>
        <w:ind w:left="71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proofErr w:type="spellStart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>Caracteristici</w:t>
      </w:r>
      <w:proofErr w:type="spellEnd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 xml:space="preserve"> </w:t>
      </w:r>
      <w:proofErr w:type="spellStart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>tehnice</w:t>
      </w:r>
      <w:proofErr w:type="spellEnd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 xml:space="preserve"> </w:t>
      </w:r>
      <w:proofErr w:type="spellStart"/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>minimale</w:t>
      </w:r>
      <w:proofErr w:type="spellEnd"/>
    </w:p>
    <w:p w14:paraId="2855718F" w14:textId="77777777" w:rsidR="00ED4ED4" w:rsidRPr="00ED4ED4" w:rsidRDefault="00ED4ED4" w:rsidP="00ED4ED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</w:pPr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Capacitate de </w:t>
      </w:r>
      <w:proofErr w:type="spellStart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>ridicare</w:t>
      </w:r>
      <w:proofErr w:type="spellEnd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 500 – 3000 kg; </w:t>
      </w:r>
    </w:p>
    <w:p w14:paraId="70F24A72" w14:textId="77777777" w:rsidR="00ED4ED4" w:rsidRPr="00ED4ED4" w:rsidRDefault="00ED4ED4" w:rsidP="00ED4ED4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71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proofErr w:type="spellStart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>Inaltime</w:t>
      </w:r>
      <w:proofErr w:type="spellEnd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>profiluri</w:t>
      </w:r>
      <w:proofErr w:type="spellEnd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>utilizabile</w:t>
      </w:r>
      <w:proofErr w:type="spellEnd"/>
      <w:r w:rsidRPr="00ED4E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</w:rPr>
        <w:t xml:space="preserve"> ( mm ) 3000-4000</w:t>
      </w:r>
    </w:p>
    <w:p w14:paraId="1A1EECE7" w14:textId="77777777" w:rsidR="00ED4ED4" w:rsidRPr="00ED4ED4" w:rsidRDefault="00ED4ED4" w:rsidP="00ED4ED4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INDICATORI ECONOMICI</w:t>
      </w:r>
    </w:p>
    <w:p w14:paraId="2F732C91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ind w:left="562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proofErr w:type="spellStart"/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Cheltuielile</w:t>
      </w:r>
      <w:proofErr w:type="spellEnd"/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proofErr w:type="spellStart"/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aferente</w:t>
      </w:r>
      <w:proofErr w:type="spellEnd"/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proofErr w:type="spellStart"/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proiectului</w:t>
      </w:r>
      <w:proofErr w:type="spellEnd"/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sunt </w:t>
      </w:r>
    </w:p>
    <w:p w14:paraId="70817790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</w:rPr>
        <w:t>VALOAREA TOTALA A INVESTITIEI = 389.896 lei / 76.721 Euro</w:t>
      </w:r>
    </w:p>
    <w:p w14:paraId="31D4B4B1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</w:rPr>
        <w:t>VALOARE ELIGIBILA = 304.920 lei / 60.000 euro</w:t>
      </w:r>
    </w:p>
    <w:p w14:paraId="4824BB00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</w:rPr>
      </w:pPr>
      <w:r w:rsidRPr="00ED4ED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</w:rPr>
        <w:t>VALOARE NEELIGIBILA = 84.976 lei / 16.721 euro</w:t>
      </w:r>
    </w:p>
    <w:p w14:paraId="4426BA87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</w:pPr>
    </w:p>
    <w:p w14:paraId="1CCEAA7B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  <w:t>1.3 DURATA DE REALIZARE (LUNI</w:t>
      </w:r>
      <w:r w:rsidRPr="00ED4ED4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): </w:t>
      </w: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  <w:t>Dr = 9 luni</w:t>
      </w:r>
    </w:p>
    <w:p w14:paraId="3F6EF791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s-CO" w:eastAsia="zh-CN"/>
          <w14:ligatures w14:val="none"/>
        </w:rPr>
      </w:pPr>
    </w:p>
    <w:p w14:paraId="1F1C4913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o-RO" w:eastAsia="zh-CN"/>
          <w14:ligatures w14:val="none"/>
        </w:rPr>
      </w:pPr>
    </w:p>
    <w:p w14:paraId="1B2C17C0" w14:textId="77777777" w:rsidR="00ED4ED4" w:rsidRPr="00ED4ED4" w:rsidRDefault="00ED4ED4" w:rsidP="00ED4ED4">
      <w:pPr>
        <w:spacing w:after="0" w:line="240" w:lineRule="auto"/>
        <w:rPr>
          <w:rFonts w:ascii="Times New Roman" w:eastAsia="Arial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597DCEC" w14:textId="77777777" w:rsidR="00ED4ED4" w:rsidRPr="00ED4ED4" w:rsidRDefault="00ED4ED4" w:rsidP="00ED4ED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D4ED4">
        <w:rPr>
          <w:rFonts w:ascii="Times New Roman" w:eastAsia="Calibri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PREȘEDINTE DE ȘEDINȚĂ ,</w:t>
      </w:r>
    </w:p>
    <w:p w14:paraId="2E02F7BE" w14:textId="77777777" w:rsidR="00ED4ED4" w:rsidRPr="00ED4ED4" w:rsidRDefault="00ED4ED4" w:rsidP="00ED4ED4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D4ED4"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PINTILII GABRIEL                 </w:t>
      </w:r>
    </w:p>
    <w:p w14:paraId="42E6FBBB" w14:textId="77777777" w:rsidR="00ED4ED4" w:rsidRPr="00ED4ED4" w:rsidRDefault="00ED4ED4" w:rsidP="00ED4ED4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32540841" w14:textId="77777777" w:rsidR="00ED4ED4" w:rsidRPr="00ED4ED4" w:rsidRDefault="00ED4ED4" w:rsidP="00ED4ED4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5CCD7EDA" w14:textId="77777777" w:rsidR="00ED4ED4" w:rsidRPr="00ED4ED4" w:rsidRDefault="00ED4ED4" w:rsidP="00ED4ED4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D4ED4"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CONTRASEMNEAZĂ,</w:t>
      </w:r>
    </w:p>
    <w:p w14:paraId="528857D9" w14:textId="77777777" w:rsidR="00ED4ED4" w:rsidRPr="00ED4ED4" w:rsidRDefault="00ED4ED4" w:rsidP="00ED4ED4">
      <w:pPr>
        <w:widowControl w:val="0"/>
        <w:tabs>
          <w:tab w:val="left" w:pos="60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ED4ED4">
        <w:rPr>
          <w:rFonts w:ascii="Times New Roman" w:eastAsia="Arial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Secretarul general al comunei ,</w:t>
      </w:r>
    </w:p>
    <w:p w14:paraId="539EF3D3" w14:textId="77777777" w:rsidR="00ED4ED4" w:rsidRPr="00ED4ED4" w:rsidRDefault="00ED4ED4" w:rsidP="00ED4E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D4ED4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FLORESCU LILIANA-IONELA</w:t>
      </w:r>
    </w:p>
    <w:p w14:paraId="224383AA" w14:textId="77777777"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6A8F"/>
    <w:multiLevelType w:val="hybridMultilevel"/>
    <w:tmpl w:val="8CB0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55E3"/>
    <w:multiLevelType w:val="multilevel"/>
    <w:tmpl w:val="54CA27F8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 w16cid:durableId="1125077159">
    <w:abstractNumId w:val="1"/>
  </w:num>
  <w:num w:numId="2" w16cid:durableId="63754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D4"/>
    <w:rsid w:val="00796967"/>
    <w:rsid w:val="00A96D51"/>
    <w:rsid w:val="00ED4ED4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42A2"/>
  <w15:chartTrackingRefBased/>
  <w15:docId w15:val="{3EA90288-9547-44CC-8CDE-08A6942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paragraph" w:styleId="Titlu1">
    <w:name w:val="heading 1"/>
    <w:basedOn w:val="Normal"/>
    <w:next w:val="Normal"/>
    <w:link w:val="Titlu1Caracter"/>
    <w:uiPriority w:val="9"/>
    <w:qFormat/>
    <w:rsid w:val="00ED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D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D4E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D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D4E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D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D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D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D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D4E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D4E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D4E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D4ED4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D4ED4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D4ED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D4ED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D4ED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D4ED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D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D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D4E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D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D4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D4ED4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ED4ED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D4E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D4ED4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D4ED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2025-10-23T07:37:00Z</dcterms:created>
  <dcterms:modified xsi:type="dcterms:W3CDTF">2025-10-23T07:39:00Z</dcterms:modified>
</cp:coreProperties>
</file>