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37E21" w:rsidRDefault="00F37E21" w:rsidP="00F37E21">
      <w:pPr>
        <w:rPr>
          <w:b/>
        </w:rPr>
      </w:pPr>
      <w:r>
        <w:rPr>
          <w:b/>
        </w:rPr>
        <w:t>CONSILIUL LOCAL SFINTESTI</w:t>
      </w:r>
    </w:p>
    <w:p w:rsidR="00F37E21" w:rsidRDefault="00F37E21" w:rsidP="00F37E21">
      <w:pPr>
        <w:rPr>
          <w:b/>
        </w:rPr>
      </w:pPr>
      <w:r>
        <w:rPr>
          <w:b/>
        </w:rPr>
        <w:t>JUDETUL TELEORMAN</w:t>
      </w:r>
    </w:p>
    <w:p w:rsidR="00F37E21" w:rsidRDefault="00F37E21" w:rsidP="00F37E21">
      <w:pPr>
        <w:rPr>
          <w:b/>
        </w:rPr>
      </w:pPr>
    </w:p>
    <w:p w:rsidR="00F37E21" w:rsidRDefault="00F37E21" w:rsidP="00F37E21">
      <w:pPr>
        <w:rPr>
          <w:b/>
        </w:rPr>
      </w:pPr>
      <w:r>
        <w:rPr>
          <w:b/>
        </w:rPr>
        <w:t xml:space="preserve">                                                        PROCES  -  VERBAL </w:t>
      </w:r>
    </w:p>
    <w:p w:rsidR="00F37E21" w:rsidRDefault="00F37E21" w:rsidP="00F37E21"/>
    <w:p w:rsidR="00F37E21" w:rsidRDefault="00F37E21" w:rsidP="00F37E21">
      <w:r>
        <w:t xml:space="preserve">     Incheiat astazi 19.06.2023  in sedinta ordinara de lucru pe luna iunie 2023 , care are loc in sediul Primariei comunei Sfintesti , in prezenta a 8  consilieri locali din numarul total de 9 cati alcatuiesc Consiliul Local .</w:t>
      </w:r>
    </w:p>
    <w:p w:rsidR="00F37E21" w:rsidRDefault="00F37E21" w:rsidP="00F37E21">
      <w:r>
        <w:t xml:space="preserve">    Convocarea consiliului local in sedinta ordinara s-a facut in conformitate cu prevederile art.133 alin.(1) din OUG nr.57/2019 – privind Codul Administrativ , cu modificarile si completarile ulterioare , prin Dispozitia Primarului nr. 145  din 14.06.2023 .</w:t>
      </w:r>
      <w:r>
        <w:tab/>
      </w:r>
    </w:p>
    <w:p w:rsidR="00F37E21" w:rsidRDefault="00F37E21" w:rsidP="00F37E21"/>
    <w:p w:rsidR="00F37E21" w:rsidRDefault="00F37E21" w:rsidP="00F37E21">
      <w:r>
        <w:t xml:space="preserve">     La lucrarile sedintei participa de drept primarul , viceprimarul si secretarul general al UAT </w:t>
      </w:r>
    </w:p>
    <w:p w:rsidR="00F37E21" w:rsidRDefault="00F37E21" w:rsidP="00F37E21">
      <w:r>
        <w:t xml:space="preserve">    In continuare presedintele de sedinta da citire procesului-verbal de la sedinta anterioare si il supune spre aprobare Consiliului Local , care il aproba in unanimitate .</w:t>
      </w:r>
    </w:p>
    <w:p w:rsidR="00F37E21" w:rsidRDefault="00F37E21" w:rsidP="00F37E21"/>
    <w:p w:rsidR="00F37E21" w:rsidRDefault="00F37E21" w:rsidP="00F37E21">
      <w:r>
        <w:t xml:space="preserve">    In continuare , presedintele de sedinta da citire ordinii de zi , ca fiind urmatoarea :</w:t>
      </w:r>
    </w:p>
    <w:p w:rsidR="00F37E21" w:rsidRDefault="00F37E21" w:rsidP="00F37E21">
      <w:pPr>
        <w:jc w:val="both"/>
      </w:pPr>
      <w:r w:rsidRPr="004971D4">
        <w:t xml:space="preserve">         1. Proiect de hotarâre privind :</w:t>
      </w:r>
      <w:r>
        <w:t>rectificarea bugetului local pe anul 2023.</w:t>
      </w:r>
    </w:p>
    <w:p w:rsidR="00F37E21" w:rsidRDefault="00F37E21" w:rsidP="00F37E21">
      <w:pPr>
        <w:jc w:val="both"/>
      </w:pPr>
      <w:r w:rsidRPr="004971D4">
        <w:t xml:space="preserve">         2.</w:t>
      </w:r>
      <w:r>
        <w:t xml:space="preserve"> </w:t>
      </w:r>
      <w:r w:rsidRPr="004971D4">
        <w:t xml:space="preserve">Proiect de hotărâre privind : </w:t>
      </w:r>
      <w:r>
        <w:t>neasumarea /asumarea responsabilității organizării și derulării procedurilor de atribuire  a contractelor /acordurilor cadru  pentru achiziția produselor și a contractelor /acordurilor- cadru de prestare a serviciilor pentru derularea măsurilor educative la nivel de unitate administrativ-teritorială pentru perioada 2023-2029 .</w:t>
      </w:r>
    </w:p>
    <w:p w:rsidR="00F37E21" w:rsidRDefault="00F37E21" w:rsidP="00F37E21">
      <w:pPr>
        <w:jc w:val="center"/>
        <w:rPr>
          <w:lang w:val="it-IT"/>
        </w:rPr>
      </w:pPr>
      <w:r w:rsidRPr="004971D4">
        <w:t xml:space="preserve">  3.   Proiect de hotărâre privind: </w:t>
      </w:r>
      <w:r>
        <w:t>p</w:t>
      </w:r>
      <w:r w:rsidRPr="009D05AC">
        <w:rPr>
          <w:lang w:val="it-IT"/>
        </w:rPr>
        <w:t xml:space="preserve">rivind modificarea și completarea anexei la Hotărârea </w:t>
      </w:r>
    </w:p>
    <w:p w:rsidR="00F37E21" w:rsidRDefault="00F37E21" w:rsidP="00F37E21">
      <w:pPr>
        <w:rPr>
          <w:rFonts w:ascii="Tahoma" w:hAnsi="Tahoma" w:cs="Tahoma"/>
          <w:i/>
          <w:lang w:val="it-IT"/>
        </w:rPr>
      </w:pPr>
      <w:r w:rsidRPr="009D05AC">
        <w:rPr>
          <w:lang w:val="it-IT"/>
        </w:rPr>
        <w:t>Consiliului local Sfințești nr. 51/10.11.2022 privind clasificarea unor drumuri de in</w:t>
      </w:r>
      <w:r>
        <w:rPr>
          <w:lang w:val="it-IT"/>
        </w:rPr>
        <w:t xml:space="preserve">teres public </w:t>
      </w:r>
      <w:r w:rsidRPr="009D05AC">
        <w:rPr>
          <w:lang w:val="it-IT"/>
        </w:rPr>
        <w:t>local în categoria de folosință străzi aflate în perimetrul Comunei Sfințești și atestarea apartenenței acestor bunuri la domeniul public al Comunei Sfințești, județul Teleorman</w:t>
      </w:r>
      <w:r w:rsidRPr="00D21B5A">
        <w:rPr>
          <w:rFonts w:ascii="Tahoma" w:hAnsi="Tahoma" w:cs="Tahoma"/>
          <w:i/>
          <w:lang w:val="it-IT"/>
        </w:rPr>
        <w:t xml:space="preserve"> </w:t>
      </w:r>
    </w:p>
    <w:p w:rsidR="00F37E21" w:rsidRPr="00E7276C" w:rsidRDefault="00F37E21" w:rsidP="00F37E21">
      <w:r>
        <w:rPr>
          <w:rFonts w:ascii="Tahoma" w:hAnsi="Tahoma" w:cs="Tahoma"/>
          <w:i/>
          <w:lang w:val="it-IT"/>
        </w:rPr>
        <w:t xml:space="preserve">      </w:t>
      </w:r>
      <w:r w:rsidRPr="004971D4">
        <w:t xml:space="preserve">  4 .  Proiect de hotărâre privind :</w:t>
      </w:r>
      <w:r w:rsidRPr="00A9459F">
        <w:rPr>
          <w:b/>
          <w:bCs/>
        </w:rPr>
        <w:t xml:space="preserve"> </w:t>
      </w:r>
      <w:r w:rsidRPr="00A9459F">
        <w:rPr>
          <w:bCs/>
        </w:rPr>
        <w:t>privind participarea in cadrul</w:t>
      </w:r>
      <w:r w:rsidRPr="00A9459F">
        <w:rPr>
          <w:bCs/>
          <w:lang w:val="en-US"/>
        </w:rPr>
        <w:t>Apelului de proiecte</w:t>
      </w:r>
    </w:p>
    <w:p w:rsidR="00F37E21" w:rsidRDefault="00F37E21" w:rsidP="00F37E21">
      <w:pPr>
        <w:pStyle w:val="NoSpacing"/>
        <w:jc w:val="center"/>
        <w:rPr>
          <w:rFonts w:ascii="Times New Roman" w:eastAsia="Times New Roman" w:hAnsi="Times New Roman" w:cs="Times New Roman"/>
          <w:bCs/>
          <w:sz w:val="24"/>
          <w:szCs w:val="24"/>
        </w:rPr>
      </w:pPr>
      <w:r w:rsidRPr="00A9459F">
        <w:rPr>
          <w:rFonts w:ascii="Times New Roman" w:hAnsi="Times New Roman" w:cs="Times New Roman"/>
          <w:bCs/>
          <w:sz w:val="24"/>
          <w:szCs w:val="24"/>
        </w:rPr>
        <w:t xml:space="preserve">PNRR/2023/C3/S/I.2.A-Bcu </w:t>
      </w:r>
      <w:r w:rsidRPr="00E7276C">
        <w:rPr>
          <w:rFonts w:ascii="Times New Roman" w:hAnsi="Times New Roman" w:cs="Times New Roman"/>
          <w:bCs/>
          <w:sz w:val="24"/>
          <w:szCs w:val="24"/>
        </w:rPr>
        <w:t>proiectul</w:t>
      </w:r>
      <w:r w:rsidRPr="00E7276C">
        <w:rPr>
          <w:rFonts w:ascii="Times New Roman" w:eastAsia="Times New Roman" w:hAnsi="Times New Roman" w:cs="Times New Roman"/>
          <w:bCs/>
          <w:sz w:val="24"/>
          <w:szCs w:val="24"/>
        </w:rPr>
        <w:t xml:space="preserve"> “REALIZARE </w:t>
      </w:r>
      <w:proofErr w:type="gramStart"/>
      <w:r w:rsidRPr="00E7276C">
        <w:rPr>
          <w:rFonts w:ascii="Times New Roman" w:eastAsia="Times New Roman" w:hAnsi="Times New Roman" w:cs="Times New Roman"/>
          <w:bCs/>
          <w:sz w:val="24"/>
          <w:szCs w:val="24"/>
        </w:rPr>
        <w:t>SISTEM  INTEGRAT</w:t>
      </w:r>
      <w:proofErr w:type="gramEnd"/>
      <w:r w:rsidRPr="00E7276C">
        <w:rPr>
          <w:rFonts w:ascii="Times New Roman" w:eastAsia="Times New Roman" w:hAnsi="Times New Roman" w:cs="Times New Roman"/>
          <w:bCs/>
          <w:sz w:val="24"/>
          <w:szCs w:val="24"/>
        </w:rPr>
        <w:t xml:space="preserve"> DE COLECTARE </w:t>
      </w:r>
    </w:p>
    <w:p w:rsidR="00F37E21" w:rsidRPr="004971D4" w:rsidRDefault="00F37E21" w:rsidP="00F37E21">
      <w:pPr>
        <w:pStyle w:val="NoSpacing"/>
        <w:rPr>
          <w:rFonts w:ascii="Times New Roman" w:hAnsi="Times New Roman" w:cs="Times New Roman"/>
          <w:sz w:val="24"/>
          <w:szCs w:val="24"/>
        </w:rPr>
      </w:pPr>
      <w:r w:rsidRPr="00E7276C">
        <w:rPr>
          <w:rFonts w:ascii="Times New Roman" w:eastAsia="Times New Roman" w:hAnsi="Times New Roman" w:cs="Times New Roman"/>
          <w:bCs/>
          <w:sz w:val="24"/>
          <w:szCs w:val="24"/>
        </w:rPr>
        <w:t xml:space="preserve">ȘI VALORIFICARE A GUNOIULUI DE GRAJD ÎN COMUNA </w:t>
      </w:r>
      <w:r>
        <w:rPr>
          <w:rFonts w:ascii="Times New Roman" w:eastAsia="Times New Roman" w:hAnsi="Times New Roman" w:cs="Times New Roman"/>
          <w:bCs/>
          <w:sz w:val="24"/>
          <w:szCs w:val="24"/>
        </w:rPr>
        <w:t>SFINȚEȘTI</w:t>
      </w:r>
      <w:r w:rsidRPr="00E7276C">
        <w:rPr>
          <w:rFonts w:ascii="Times New Roman" w:eastAsia="Times New Roman" w:hAnsi="Times New Roman" w:cs="Times New Roman"/>
          <w:bCs/>
          <w:sz w:val="24"/>
          <w:szCs w:val="24"/>
        </w:rPr>
        <w:t xml:space="preserve">, JUDETUL </w:t>
      </w:r>
      <w:r>
        <w:rPr>
          <w:rFonts w:ascii="Times New Roman" w:eastAsia="Times New Roman" w:hAnsi="Times New Roman" w:cs="Times New Roman"/>
          <w:bCs/>
          <w:sz w:val="24"/>
          <w:szCs w:val="24"/>
        </w:rPr>
        <w:t xml:space="preserve">TELEORMAN </w:t>
      </w:r>
      <w:r w:rsidRPr="00E7276C">
        <w:rPr>
          <w:rFonts w:ascii="Times New Roman" w:eastAsia="Times New Roman" w:hAnsi="Times New Roman" w:cs="Times New Roman"/>
          <w:bCs/>
          <w:sz w:val="24"/>
          <w:szCs w:val="24"/>
        </w:rPr>
        <w:t xml:space="preserve">”  </w:t>
      </w:r>
      <w:r w:rsidRPr="00E7276C">
        <w:rPr>
          <w:rFonts w:ascii="Times New Roman" w:hAnsi="Times New Roman" w:cs="Times New Roman"/>
          <w:sz w:val="24"/>
          <w:szCs w:val="24"/>
        </w:rPr>
        <w:t xml:space="preserve">și aprobarea fazelor Nota conceptuala si Tema de proiectare pentru obiectivul de investitii “REALIZARE SISTEM  INTEGRAT DE COLECTARE ȘI VALORIFICARE A GUNOIULUI DE GRAJD ÎN COMUNA </w:t>
      </w:r>
      <w:r>
        <w:rPr>
          <w:rFonts w:ascii="Times New Roman" w:hAnsi="Times New Roman" w:cs="Times New Roman"/>
          <w:sz w:val="24"/>
          <w:szCs w:val="24"/>
        </w:rPr>
        <w:t>SFINȚEȘTI</w:t>
      </w:r>
      <w:r w:rsidRPr="00E7276C">
        <w:rPr>
          <w:rFonts w:ascii="Times New Roman" w:hAnsi="Times New Roman" w:cs="Times New Roman"/>
          <w:sz w:val="24"/>
          <w:szCs w:val="24"/>
        </w:rPr>
        <w:t xml:space="preserve">, JUDETUL </w:t>
      </w:r>
      <w:r>
        <w:rPr>
          <w:rFonts w:ascii="Times New Roman" w:hAnsi="Times New Roman" w:cs="Times New Roman"/>
          <w:sz w:val="24"/>
          <w:szCs w:val="24"/>
        </w:rPr>
        <w:t xml:space="preserve">TELEORMAN </w:t>
      </w:r>
      <w:r w:rsidRPr="00E7276C">
        <w:rPr>
          <w:rFonts w:ascii="Times New Roman" w:hAnsi="Times New Roman" w:cs="Times New Roman"/>
          <w:sz w:val="24"/>
          <w:szCs w:val="24"/>
        </w:rPr>
        <w:t>”</w:t>
      </w:r>
      <w:r>
        <w:rPr>
          <w:rFonts w:ascii="Times New Roman" w:hAnsi="Times New Roman" w:cs="Times New Roman"/>
          <w:sz w:val="24"/>
          <w:szCs w:val="24"/>
        </w:rPr>
        <w:t>.</w:t>
      </w:r>
      <w:r w:rsidRPr="004971D4">
        <w:rPr>
          <w:rFonts w:ascii="Times New Roman" w:hAnsi="Times New Roman" w:cs="Times New Roman"/>
          <w:sz w:val="24"/>
          <w:szCs w:val="24"/>
        </w:rPr>
        <w:t xml:space="preserve"> </w:t>
      </w:r>
    </w:p>
    <w:p w:rsidR="00F37E21" w:rsidRDefault="00F37E21" w:rsidP="00F37E21">
      <w:pPr>
        <w:pStyle w:val="NoSpacing"/>
      </w:pPr>
      <w:r w:rsidRPr="004971D4">
        <w:rPr>
          <w:rFonts w:ascii="Times New Roman" w:hAnsi="Times New Roman" w:cs="Times New Roman"/>
          <w:sz w:val="24"/>
          <w:szCs w:val="24"/>
        </w:rPr>
        <w:t xml:space="preserve">         5.   Diverse.</w:t>
      </w:r>
    </w:p>
    <w:p w:rsidR="00F37E21" w:rsidRDefault="00F37E21" w:rsidP="00F37E21">
      <w:r>
        <w:t>Si o supune la vot , fiind aprobata in unanimitate de voturi .</w:t>
      </w:r>
    </w:p>
    <w:p w:rsidR="00F37E21" w:rsidRDefault="00F37E21" w:rsidP="00F37E21">
      <w:r>
        <w:t xml:space="preserve">    </w:t>
      </w:r>
    </w:p>
    <w:p w:rsidR="00F37E21" w:rsidRPr="00191291" w:rsidRDefault="00F37E21" w:rsidP="00F37E21">
      <w:pPr>
        <w:tabs>
          <w:tab w:val="left" w:pos="3255"/>
        </w:tabs>
        <w:rPr>
          <w:color w:val="000000"/>
          <w:lang w:val="es-CO"/>
        </w:rPr>
      </w:pPr>
      <w:r>
        <w:t xml:space="preserve">    Domnul Primar  propune suplimentarea ordinii de zi cu proiectul de hotărâre privind :</w:t>
      </w:r>
      <w:r w:rsidRPr="00265F26">
        <w:t xml:space="preserve"> </w:t>
      </w:r>
      <w:r w:rsidRPr="00191291">
        <w:t>modificarea Anexei la HCL nr. 36 din 12.05.2023</w:t>
      </w:r>
      <w:r w:rsidRPr="00191291">
        <w:rPr>
          <w:i/>
          <w:color w:val="000000"/>
          <w:lang w:val="es-CO"/>
        </w:rPr>
        <w:t xml:space="preserve"> </w:t>
      </w:r>
      <w:r w:rsidRPr="00191291">
        <w:rPr>
          <w:color w:val="000000"/>
          <w:lang w:val="es-CO"/>
        </w:rPr>
        <w:t>privind stabilirea salariilor de bază ale funcționarilor publici și personalului contractual din aparatul de specialitate al primarului comunei Sfințești, județul Teleorman .</w:t>
      </w:r>
    </w:p>
    <w:p w:rsidR="00F37E21" w:rsidRPr="00191291" w:rsidRDefault="00F37E21" w:rsidP="00F37E21">
      <w:pPr>
        <w:tabs>
          <w:tab w:val="left" w:pos="3255"/>
        </w:tabs>
        <w:rPr>
          <w:color w:val="000000"/>
          <w:lang w:val="es-CO"/>
        </w:rPr>
      </w:pPr>
      <w:r>
        <w:t xml:space="preserve">    Președintele de ședință supune la vot suplimentarea ordinii de zi  cu proiectul de hotărâre privind :</w:t>
      </w:r>
      <w:r w:rsidRPr="00265F26">
        <w:t xml:space="preserve"> </w:t>
      </w:r>
      <w:r w:rsidRPr="00191291">
        <w:t>modificarea Anexei la HCL nr. 36 din 12.05.2023</w:t>
      </w:r>
      <w:r w:rsidRPr="00191291">
        <w:rPr>
          <w:i/>
          <w:color w:val="000000"/>
          <w:lang w:val="es-CO"/>
        </w:rPr>
        <w:t xml:space="preserve"> </w:t>
      </w:r>
      <w:r w:rsidRPr="00191291">
        <w:rPr>
          <w:color w:val="000000"/>
          <w:lang w:val="es-CO"/>
        </w:rPr>
        <w:t>privind stabilirea salariilor de bază ale funcționarilor publici și personalului contractual din aparatul de specialitate al primarului comunei Sfințești, județul Teleorman .</w:t>
      </w:r>
    </w:p>
    <w:p w:rsidR="00F37E21" w:rsidRDefault="00F37E21" w:rsidP="00F37E21">
      <w:pPr>
        <w:tabs>
          <w:tab w:val="left" w:pos="3882"/>
        </w:tabs>
      </w:pPr>
    </w:p>
    <w:p w:rsidR="00F37E21" w:rsidRDefault="00F37E21" w:rsidP="00F37E21">
      <w:pPr>
        <w:tabs>
          <w:tab w:val="left" w:pos="3882"/>
        </w:tabs>
      </w:pPr>
      <w:r>
        <w:t xml:space="preserve">    </w:t>
      </w:r>
    </w:p>
    <w:p w:rsidR="00F37E21" w:rsidRDefault="00F37E21" w:rsidP="00F37E21">
      <w:r>
        <w:lastRenderedPageBreak/>
        <w:t xml:space="preserve">           Din numarul total de  9 consilieri locali cati alcatuiesc consiliul local , din care 8 prezenți proiectul de hotărâre privind : </w:t>
      </w:r>
      <w:r w:rsidRPr="004971D4">
        <w:t xml:space="preserve">aprobarea modificării organigramei și statului de funcții al aparatului de specialitate al primarului comunei Sfințești , județul Teleorman </w:t>
      </w:r>
      <w:r>
        <w:t xml:space="preserve">s-a aprobat dupa cum urmeaza :8 </w:t>
      </w:r>
      <w:r>
        <w:rPr>
          <w:b/>
        </w:rPr>
        <w:t xml:space="preserve"> </w:t>
      </w:r>
      <w:r>
        <w:t>voturi pentru, …..  abţineri şi …voturi împotrivă din totalul de  8 consilieri prezenţi .</w:t>
      </w:r>
    </w:p>
    <w:p w:rsidR="00F37E21" w:rsidRDefault="00F37E21" w:rsidP="00F37E21"/>
    <w:p w:rsidR="00F37E21" w:rsidRDefault="00F37E21" w:rsidP="00F37E21">
      <w:pPr>
        <w:jc w:val="both"/>
      </w:pPr>
      <w:r>
        <w:t xml:space="preserve">    In continuare se trece la punctul 1 de pe ordinea de zi:</w:t>
      </w:r>
      <w:r w:rsidRPr="00265F26">
        <w:t xml:space="preserve"> </w:t>
      </w:r>
      <w:r>
        <w:t>rectificarea bugetului local pe anul 2023.</w:t>
      </w:r>
    </w:p>
    <w:p w:rsidR="00F37E21" w:rsidRDefault="00F37E21" w:rsidP="00F37E21">
      <w:pPr>
        <w:jc w:val="both"/>
      </w:pPr>
      <w:r>
        <w:t xml:space="preserve">     Președintele de ședință dă citire raportului de specialitate intocmit de d-na Ionescu Mihaela , contabil:</w:t>
      </w:r>
    </w:p>
    <w:p w:rsidR="00F37E21" w:rsidRDefault="00F37E21" w:rsidP="00F37E21">
      <w:pPr>
        <w:rPr>
          <w:lang w:val="it-IT"/>
        </w:rPr>
      </w:pPr>
      <w:r>
        <w:rPr>
          <w:lang w:val="it-IT"/>
        </w:rPr>
        <w:t xml:space="preserve">   </w:t>
      </w:r>
      <w:r w:rsidRPr="00554D71">
        <w:rPr>
          <w:lang w:val="it-IT"/>
        </w:rPr>
        <w:t xml:space="preserve"> </w:t>
      </w:r>
      <w:r w:rsidRPr="00845B56">
        <w:rPr>
          <w:lang w:val="it-IT"/>
        </w:rPr>
        <w:t xml:space="preserve">Subsemnata Ionescu Mihaela , contabil in cadrul Primariei Comuna Sfinteti , va solicit aprobarea rectificarii </w:t>
      </w:r>
      <w:r>
        <w:rPr>
          <w:lang w:val="it-IT"/>
        </w:rPr>
        <w:t xml:space="preserve">bugetului local pentru anul 2023 cu respectarea Legii nr.273/29.06.2006 privind finantele publice locale , a Legii nr 82/1991-Legea Contabilitatii cu modificarile si completarile ulterioare si prevederile Legii nr.368/2022 –Legea bugetului de stat pe anul2023 prin virarea de credite bugetare in cadrul aceluiasi capitol </w:t>
      </w:r>
    </w:p>
    <w:p w:rsidR="00F37E21" w:rsidRDefault="00F37E21" w:rsidP="00F37E21">
      <w:pPr>
        <w:rPr>
          <w:lang w:val="it-IT"/>
        </w:rPr>
      </w:pPr>
      <w:r>
        <w:rPr>
          <w:lang w:val="it-IT"/>
        </w:rPr>
        <w:t xml:space="preserve">VENITURI                                                                                  -MII LEI    </w:t>
      </w:r>
    </w:p>
    <w:p w:rsidR="00F37E21" w:rsidRDefault="00F37E21" w:rsidP="00F37E21">
      <w:pPr>
        <w:rPr>
          <w:lang w:val="it-IT"/>
        </w:rPr>
      </w:pPr>
      <w:r>
        <w:rPr>
          <w:lang w:val="it-IT"/>
        </w:rPr>
        <w:t xml:space="preserve">                                                                                              TRIM II </w:t>
      </w:r>
      <w:r>
        <w:rPr>
          <w:lang w:val="it-IT"/>
        </w:rPr>
        <w:tab/>
      </w:r>
      <w:r>
        <w:rPr>
          <w:lang w:val="it-IT"/>
        </w:rPr>
        <w:tab/>
        <w:t>TRIM III</w:t>
      </w:r>
    </w:p>
    <w:p w:rsidR="00F37E21" w:rsidRDefault="00F37E21" w:rsidP="00F37E21">
      <w:pPr>
        <w:rPr>
          <w:lang w:val="it-IT"/>
        </w:rPr>
      </w:pPr>
      <w:r>
        <w:rPr>
          <w:lang w:val="it-IT"/>
        </w:rPr>
        <w:t xml:space="preserve"> 30.50.00-Alte Venituri  din </w:t>
      </w:r>
    </w:p>
    <w:p w:rsidR="00F37E21" w:rsidRDefault="00F37E21" w:rsidP="00F37E21">
      <w:pPr>
        <w:rPr>
          <w:lang w:val="it-IT"/>
        </w:rPr>
      </w:pPr>
      <w:r>
        <w:rPr>
          <w:lang w:val="it-IT"/>
        </w:rPr>
        <w:t>proprietate                                                                     +31,200                     -31,200</w:t>
      </w:r>
    </w:p>
    <w:p w:rsidR="00F37E21" w:rsidRDefault="00F37E21" w:rsidP="00F37E21">
      <w:pPr>
        <w:rPr>
          <w:lang w:val="it-IT"/>
        </w:rPr>
      </w:pPr>
      <w:r>
        <w:rPr>
          <w:lang w:val="it-IT"/>
        </w:rPr>
        <w:t xml:space="preserve">31.01.02-Venituri din amenzi </w:t>
      </w:r>
    </w:p>
    <w:p w:rsidR="00F37E21" w:rsidRDefault="00F37E21" w:rsidP="00F37E21">
      <w:pPr>
        <w:rPr>
          <w:lang w:val="it-IT"/>
        </w:rPr>
      </w:pPr>
      <w:r>
        <w:rPr>
          <w:lang w:val="it-IT"/>
        </w:rPr>
        <w:t xml:space="preserve">Si alte sanctiuni aplicate   de </w:t>
      </w:r>
    </w:p>
    <w:p w:rsidR="00F37E21" w:rsidRPr="002F72DF" w:rsidRDefault="00F37E21" w:rsidP="00F37E21">
      <w:pPr>
        <w:rPr>
          <w:lang w:val="pt-BR"/>
        </w:rPr>
      </w:pPr>
      <w:r>
        <w:rPr>
          <w:lang w:val="it-IT"/>
        </w:rPr>
        <w:t xml:space="preserve">Catre alte institutii de specialitate   </w:t>
      </w:r>
      <w:r>
        <w:rPr>
          <w:lang w:val="it-IT"/>
        </w:rPr>
        <w:tab/>
      </w:r>
      <w:r>
        <w:rPr>
          <w:lang w:val="it-IT"/>
        </w:rPr>
        <w:tab/>
      </w:r>
      <w:r>
        <w:rPr>
          <w:lang w:val="it-IT"/>
        </w:rPr>
        <w:tab/>
        <w:t xml:space="preserve">  +30,000                    -30,000  </w:t>
      </w:r>
      <w:r w:rsidRPr="00554D71">
        <w:rPr>
          <w:lang w:val="it-IT"/>
        </w:rPr>
        <w:t xml:space="preserve">                                                            </w:t>
      </w:r>
      <w:r>
        <w:rPr>
          <w:lang w:val="it-IT"/>
        </w:rPr>
        <w:t xml:space="preserve">                      </w:t>
      </w:r>
      <w:r w:rsidRPr="00554D71">
        <w:rPr>
          <w:lang w:val="it-IT"/>
        </w:rPr>
        <w:t xml:space="preserve">   </w:t>
      </w:r>
    </w:p>
    <w:p w:rsidR="00F37E21" w:rsidRDefault="00F37E21" w:rsidP="00F37E21">
      <w:pPr>
        <w:rPr>
          <w:lang w:val="it-IT"/>
        </w:rPr>
      </w:pPr>
      <w:r>
        <w:rPr>
          <w:lang w:val="it-IT"/>
        </w:rPr>
        <w:t xml:space="preserve">CAP.51AUTORITATI EXECUTIVE </w:t>
      </w:r>
    </w:p>
    <w:p w:rsidR="00F37E21" w:rsidRDefault="00F37E21" w:rsidP="00F37E21">
      <w:pPr>
        <w:rPr>
          <w:lang w:val="it-IT"/>
        </w:rPr>
      </w:pPr>
      <w:r>
        <w:rPr>
          <w:lang w:val="it-IT"/>
        </w:rPr>
        <w:t xml:space="preserve">TITLUL II BUNURI SI SERVICII </w:t>
      </w:r>
    </w:p>
    <w:p w:rsidR="00F37E21" w:rsidRDefault="00F37E21" w:rsidP="00F37E21">
      <w:pPr>
        <w:rPr>
          <w:lang w:val="it-IT"/>
        </w:rPr>
      </w:pPr>
      <w:r>
        <w:rPr>
          <w:lang w:val="it-IT"/>
        </w:rPr>
        <w:t xml:space="preserve">51.01.03.20.01.09-Materiale si prestari de </w:t>
      </w:r>
    </w:p>
    <w:p w:rsidR="00F37E21" w:rsidRDefault="00F37E21" w:rsidP="00F37E21">
      <w:pPr>
        <w:rPr>
          <w:lang w:val="it-IT"/>
        </w:rPr>
      </w:pPr>
      <w:r>
        <w:rPr>
          <w:lang w:val="it-IT"/>
        </w:rPr>
        <w:tab/>
      </w:r>
      <w:r>
        <w:rPr>
          <w:lang w:val="it-IT"/>
        </w:rPr>
        <w:tab/>
        <w:t xml:space="preserve">Servicii cu caracter functional </w:t>
      </w:r>
      <w:r>
        <w:rPr>
          <w:lang w:val="it-IT"/>
        </w:rPr>
        <w:tab/>
        <w:t xml:space="preserve">    +10,000                   -10,000</w:t>
      </w:r>
    </w:p>
    <w:p w:rsidR="00F37E21" w:rsidRDefault="00F37E21" w:rsidP="00F37E21">
      <w:pPr>
        <w:rPr>
          <w:lang w:val="it-IT"/>
        </w:rPr>
      </w:pPr>
      <w:r>
        <w:rPr>
          <w:lang w:val="it-IT"/>
        </w:rPr>
        <w:t xml:space="preserve">51.01.03.20.01.30-Alte bunuri si  servicii </w:t>
      </w:r>
    </w:p>
    <w:p w:rsidR="00F37E21" w:rsidRDefault="00F37E21" w:rsidP="00F37E21">
      <w:pPr>
        <w:rPr>
          <w:lang w:val="it-IT"/>
        </w:rPr>
      </w:pPr>
      <w:r>
        <w:rPr>
          <w:lang w:val="it-IT"/>
        </w:rPr>
        <w:tab/>
      </w:r>
      <w:r>
        <w:rPr>
          <w:lang w:val="it-IT"/>
        </w:rPr>
        <w:tab/>
        <w:t xml:space="preserve">Pentru intretinere si functionare </w:t>
      </w:r>
      <w:r>
        <w:rPr>
          <w:lang w:val="it-IT"/>
        </w:rPr>
        <w:tab/>
        <w:t xml:space="preserve">    +10,000                   -10,000</w:t>
      </w:r>
    </w:p>
    <w:p w:rsidR="00F37E21" w:rsidRDefault="00F37E21" w:rsidP="00F37E21">
      <w:pPr>
        <w:rPr>
          <w:lang w:val="it-IT"/>
        </w:rPr>
      </w:pPr>
    </w:p>
    <w:p w:rsidR="00F37E21" w:rsidRDefault="00F37E21" w:rsidP="00F37E21">
      <w:pPr>
        <w:rPr>
          <w:lang w:val="it-IT"/>
        </w:rPr>
      </w:pPr>
      <w:r>
        <w:rPr>
          <w:lang w:val="it-IT"/>
        </w:rPr>
        <w:t xml:space="preserve">CAP.54.ALTE SERVOICII PUBLICE GENERALE </w:t>
      </w:r>
    </w:p>
    <w:p w:rsidR="00F37E21" w:rsidRDefault="00F37E21" w:rsidP="00F37E21">
      <w:pPr>
        <w:rPr>
          <w:lang w:val="it-IT"/>
        </w:rPr>
      </w:pPr>
      <w:r>
        <w:rPr>
          <w:lang w:val="it-IT"/>
        </w:rPr>
        <w:t xml:space="preserve">TITLUL I-CHELTUIELI DE PERSONAL </w:t>
      </w:r>
    </w:p>
    <w:p w:rsidR="00F37E21" w:rsidRDefault="00F37E21" w:rsidP="00F37E21">
      <w:pPr>
        <w:rPr>
          <w:lang w:val="it-IT"/>
        </w:rPr>
      </w:pPr>
      <w:r>
        <w:rPr>
          <w:lang w:val="it-IT"/>
        </w:rPr>
        <w:t>10.01.01 – Salarii de baza                                                +0,200                      -0,200</w:t>
      </w:r>
    </w:p>
    <w:p w:rsidR="00F37E21" w:rsidRDefault="00F37E21" w:rsidP="00F37E21">
      <w:pPr>
        <w:rPr>
          <w:lang w:val="it-IT"/>
        </w:rPr>
      </w:pPr>
      <w:r>
        <w:rPr>
          <w:lang w:val="it-IT"/>
        </w:rPr>
        <w:t xml:space="preserve">TITLUL II BUNURI SI SERVICII </w:t>
      </w:r>
    </w:p>
    <w:p w:rsidR="00F37E21" w:rsidRDefault="00F37E21" w:rsidP="00F37E21">
      <w:pPr>
        <w:rPr>
          <w:lang w:val="it-IT"/>
        </w:rPr>
      </w:pPr>
      <w:r>
        <w:rPr>
          <w:lang w:val="it-IT"/>
        </w:rPr>
        <w:t>20.01.30-</w:t>
      </w:r>
      <w:r w:rsidRPr="004D4496">
        <w:rPr>
          <w:lang w:val="it-IT"/>
        </w:rPr>
        <w:t xml:space="preserve"> </w:t>
      </w:r>
      <w:r>
        <w:rPr>
          <w:lang w:val="it-IT"/>
        </w:rPr>
        <w:t xml:space="preserve">Alte bunuri si  servicii </w:t>
      </w:r>
    </w:p>
    <w:p w:rsidR="00F37E21" w:rsidRDefault="00F37E21" w:rsidP="00F37E21">
      <w:pPr>
        <w:rPr>
          <w:lang w:val="it-IT"/>
        </w:rPr>
      </w:pPr>
      <w:r>
        <w:rPr>
          <w:lang w:val="it-IT"/>
        </w:rPr>
        <w:tab/>
      </w:r>
      <w:r>
        <w:rPr>
          <w:lang w:val="it-IT"/>
        </w:rPr>
        <w:tab/>
        <w:t>Pentru intretinere si functionare              +20,000                   -20,000</w:t>
      </w:r>
    </w:p>
    <w:p w:rsidR="00F37E21" w:rsidRDefault="00F37E21" w:rsidP="00F37E21">
      <w:pPr>
        <w:rPr>
          <w:lang w:val="it-IT"/>
        </w:rPr>
      </w:pPr>
      <w:r>
        <w:rPr>
          <w:lang w:val="it-IT"/>
        </w:rPr>
        <w:t>CAP. 70 LOCUINTE, SERVICII SI DEZVOLTARE</w:t>
      </w:r>
    </w:p>
    <w:p w:rsidR="00F37E21" w:rsidRDefault="00F37E21" w:rsidP="00F37E21">
      <w:pPr>
        <w:rPr>
          <w:lang w:val="it-IT"/>
        </w:rPr>
      </w:pPr>
      <w:r>
        <w:rPr>
          <w:lang w:val="it-IT"/>
        </w:rPr>
        <w:t xml:space="preserve">PUBLICA </w:t>
      </w:r>
    </w:p>
    <w:p w:rsidR="00F37E21" w:rsidRDefault="00F37E21" w:rsidP="00F37E21">
      <w:pPr>
        <w:rPr>
          <w:lang w:val="it-IT"/>
        </w:rPr>
      </w:pPr>
      <w:r>
        <w:rPr>
          <w:lang w:val="it-IT"/>
        </w:rPr>
        <w:t xml:space="preserve">70.06.00-ILUMINAT PUBLIC SI ELECTRIFICARI </w:t>
      </w:r>
    </w:p>
    <w:p w:rsidR="00F37E21" w:rsidRDefault="00F37E21" w:rsidP="00F37E21">
      <w:pPr>
        <w:rPr>
          <w:lang w:val="it-IT"/>
        </w:rPr>
      </w:pPr>
      <w:r>
        <w:rPr>
          <w:lang w:val="it-IT"/>
        </w:rPr>
        <w:t xml:space="preserve">RURALE       </w:t>
      </w:r>
    </w:p>
    <w:p w:rsidR="00F37E21" w:rsidRDefault="00F37E21" w:rsidP="00F37E21">
      <w:pPr>
        <w:rPr>
          <w:lang w:val="it-IT"/>
        </w:rPr>
      </w:pPr>
      <w:r>
        <w:rPr>
          <w:lang w:val="it-IT"/>
        </w:rPr>
        <w:t xml:space="preserve">20.01.03-INCALZIT ,ILUMINAT SI </w:t>
      </w:r>
    </w:p>
    <w:p w:rsidR="00F37E21" w:rsidRDefault="00F37E21" w:rsidP="00F37E21">
      <w:pPr>
        <w:rPr>
          <w:lang w:val="it-IT"/>
        </w:rPr>
      </w:pPr>
      <w:r>
        <w:rPr>
          <w:lang w:val="it-IT"/>
        </w:rPr>
        <w:t>FORTA MOTRICA                                                          +6,000                     -6,000</w:t>
      </w:r>
    </w:p>
    <w:p w:rsidR="00F37E21" w:rsidRDefault="00F37E21" w:rsidP="00F37E21">
      <w:pPr>
        <w:rPr>
          <w:lang w:val="it-IT"/>
        </w:rPr>
      </w:pPr>
      <w:r>
        <w:rPr>
          <w:lang w:val="it-IT"/>
        </w:rPr>
        <w:t xml:space="preserve">70.50-ALTE SERVICII IN DOMENIUL </w:t>
      </w:r>
    </w:p>
    <w:p w:rsidR="00F37E21" w:rsidRDefault="00F37E21" w:rsidP="00F37E21">
      <w:pPr>
        <w:rPr>
          <w:lang w:val="it-IT"/>
        </w:rPr>
      </w:pPr>
      <w:r>
        <w:rPr>
          <w:lang w:val="it-IT"/>
        </w:rPr>
        <w:t xml:space="preserve">LOCUINTELOR,SERVICIILOR SI </w:t>
      </w:r>
    </w:p>
    <w:p w:rsidR="00F37E21" w:rsidRDefault="00F37E21" w:rsidP="00F37E21">
      <w:pPr>
        <w:rPr>
          <w:lang w:val="it-IT"/>
        </w:rPr>
      </w:pPr>
    </w:p>
    <w:p w:rsidR="00F37E21" w:rsidRDefault="00F37E21" w:rsidP="00F37E21">
      <w:pPr>
        <w:jc w:val="both"/>
      </w:pPr>
    </w:p>
    <w:p w:rsidR="00F37E21" w:rsidRDefault="00F37E21" w:rsidP="00F37E21"/>
    <w:p w:rsidR="00F37E21" w:rsidRDefault="00F37E21" w:rsidP="00F37E21">
      <w:r>
        <w:lastRenderedPageBreak/>
        <w:t xml:space="preserve">       Având in vedere cele relatate mai sus , președintele de ședință intreabă dacă mai este ceva de adăugat , nemaifiind supune la vot proiectul de hotărâre prezentat.</w:t>
      </w:r>
    </w:p>
    <w:p w:rsidR="00F37E21" w:rsidRDefault="00F37E21" w:rsidP="00F37E21">
      <w:r>
        <w:t xml:space="preserve">       Din numarul total de  9 consilieri locali cati alcatuiesc consiliul local , din care 8 prezenți proiectul de hotărâre privind : </w:t>
      </w:r>
      <w:r w:rsidRPr="004971D4">
        <w:t xml:space="preserve">aprobarea modificării organigramei și statului de funcții al aparatului de specialitate al primarului comunei Sfințești , județul Teleorman </w:t>
      </w:r>
      <w:r>
        <w:t>s-a aprobat dupa cum urmeaza :8</w:t>
      </w:r>
      <w:r>
        <w:rPr>
          <w:b/>
        </w:rPr>
        <w:t xml:space="preserve"> </w:t>
      </w:r>
      <w:r>
        <w:t>voturi pentru, …..  abţineri şi …voturi împotrivă din totalul de  8 consilieri prezenţi .</w:t>
      </w:r>
    </w:p>
    <w:p w:rsidR="00F37E21" w:rsidRDefault="00F37E21" w:rsidP="00F37E21">
      <w:pPr>
        <w:jc w:val="both"/>
      </w:pPr>
    </w:p>
    <w:p w:rsidR="00F37E21" w:rsidRDefault="00F37E21" w:rsidP="00F37E21">
      <w:pPr>
        <w:jc w:val="both"/>
      </w:pPr>
      <w:r>
        <w:t xml:space="preserve">      Urmează punctul 2 de pe ordinea de zi :</w:t>
      </w:r>
      <w:r w:rsidRPr="00CD72EC">
        <w:t xml:space="preserve"> </w:t>
      </w:r>
      <w:r>
        <w:t>neasumarea /asumarea responsabilității organizării și derulării procedurilor de atribuire  a contractelor /acordurilor cadru  pentru achiziția produselor și a contractelor /acordurilor- cadru de prestare a serviciilor pentru derularea măsurilor educative la nivel de unitate administrativ-teritorială pentru perioada 2023-2029 .</w:t>
      </w:r>
    </w:p>
    <w:p w:rsidR="00F37E21" w:rsidRDefault="00F37E21" w:rsidP="00F37E21">
      <w:pPr>
        <w:jc w:val="both"/>
        <w:rPr>
          <w:lang w:val="en-US"/>
        </w:rPr>
      </w:pPr>
      <w:r>
        <w:rPr>
          <w:lang w:val="en-US"/>
        </w:rPr>
        <w:t xml:space="preserve"> </w:t>
      </w:r>
    </w:p>
    <w:p w:rsidR="00F37E21" w:rsidRDefault="00F37E21" w:rsidP="00F37E21">
      <w:pPr>
        <w:jc w:val="both"/>
        <w:rPr>
          <w:lang w:val="en-US"/>
        </w:rPr>
      </w:pPr>
      <w:r>
        <w:rPr>
          <w:lang w:val="en-US"/>
        </w:rPr>
        <w:t xml:space="preserve">       Președintele de ședință dă cuvântul domnului </w:t>
      </w:r>
      <w:proofErr w:type="gramStart"/>
      <w:r>
        <w:rPr>
          <w:lang w:val="en-US"/>
        </w:rPr>
        <w:t>primar :</w:t>
      </w:r>
      <w:proofErr w:type="gramEnd"/>
    </w:p>
    <w:p w:rsidR="00F37E21" w:rsidRDefault="00F37E21" w:rsidP="00F37E21">
      <w:pPr>
        <w:tabs>
          <w:tab w:val="center" w:pos="4320"/>
          <w:tab w:val="right" w:pos="8640"/>
        </w:tabs>
      </w:pPr>
      <w:r>
        <w:t xml:space="preserve">       În conformitate cu prevederile art.136, alin.(3), lit.a) din O.U.G. nr.57/2019 privind Codul administrativ, cu modificările și completările ulterioare, proiectul de hotărâre însoţit de referatul de aprobare al acestuia şi de alte documente de prezentare şi de motivare au fost transmise compartimentului de resort din cadrul aparatului de specialitate al primarului, în vederea analizării şi întocmirii raportului de specialitate. </w:t>
      </w:r>
    </w:p>
    <w:p w:rsidR="00F37E21" w:rsidRDefault="00F37E21" w:rsidP="00F37E21">
      <w:pPr>
        <w:tabs>
          <w:tab w:val="center" w:pos="4320"/>
          <w:tab w:val="right" w:pos="8640"/>
        </w:tabs>
      </w:pPr>
      <w:r>
        <w:t xml:space="preserve">       Necesitatea și oportunitatea</w:t>
      </w:r>
    </w:p>
    <w:p w:rsidR="00F37E21" w:rsidRDefault="00F37E21" w:rsidP="00F37E21">
      <w:pPr>
        <w:tabs>
          <w:tab w:val="center" w:pos="4320"/>
          <w:tab w:val="right" w:pos="8640"/>
        </w:tabs>
      </w:pPr>
      <w:r>
        <w:t xml:space="preserve">   Pentru implementarea Programului pentru scoli al Romaniei in perioada 2023-2029 în unitățile de învățământ din județul Teleorman, în conformitate cu prevederile anexei nr.6 din H.G.R. nr.640/2017 și prevederile O.U.G. nr.31/2023, primăriile din județ au obligația adoptării unor hotărâri privind asumarea /neasumarea responsabilității organizării și derulării procedurilor de atribuire a contractelor/acordurilor-cadru pentru achiziția produselor și a contractelor/ acordurilor-cadru de prestare a serviciilor pentru derularea măsurilor educative la nivel de unitate administrative- teritorială pentru perioada 2023-2029.</w:t>
      </w:r>
    </w:p>
    <w:p w:rsidR="00F37E21" w:rsidRDefault="00F37E21" w:rsidP="00F37E21">
      <w:pPr>
        <w:tabs>
          <w:tab w:val="center" w:pos="4320"/>
          <w:tab w:val="right" w:pos="8640"/>
        </w:tabs>
      </w:pPr>
      <w:r>
        <w:t xml:space="preserve">      Prin Ordonanta Guvernului nr.13 din 18 august 2017 s-a aprobat participarea României la Programul pentru şcoli al Uniunii Europene, cu modificările și completările ulterioare. Ordonanța pune în practică prevederile regulamentelor europene pentru fructele și legumele destinate școlilor și pentru laptele destinat școlilor, pentru perioada 1 august 2023 – 31 iulie 2029. Prin acest act normativ se instituie măsurile prevăzute de noile reglementări europene, astfel încât să se asigure continuarea participării României la Programul pentru școli al Uniunii Europene, pentru exercițiul financiar din perioada 1 august 2023 – 31 iulie 2029. În acest fel, va continua distribuirea de fructe şi/sau legume proaspete, lapte natural de consum şi/sau produse lactate fără adaos de lapte praf și de panificație pentru preșcolari și elevi. Autorităţile competente la nivel local pentru aplicarea Programului pentru şcoli sunt consiliul judeţean şi/sau consiliul local, care îşi asumă organizarea şi derularea procedurilor de atribuire a contractelor pentru achiziţia produselor aferente Programului. Consiliile judeţene şi locale sunt obligate să colaboreze şi să îşi distribuie responsabilităţile înainte de demararea Programului, conform procedurii aprobate prin hotărâre a Guvernului.</w:t>
      </w:r>
    </w:p>
    <w:p w:rsidR="00F37E21" w:rsidRDefault="00F37E21" w:rsidP="00F37E21">
      <w:pPr>
        <w:tabs>
          <w:tab w:val="center" w:pos="4320"/>
          <w:tab w:val="right" w:pos="8640"/>
        </w:tabs>
      </w:pPr>
      <w:r>
        <w:t xml:space="preserve">      Prin adresa nr.12430/VIIA/din 23.05.2023, Consiliul Judetean Teleorman solicită să se  comunice  hotărârea privind asumarea /neasumarea responsabilității organizării și derulării procedurilor de atribuire a contractelor/acordurilor-cadru pentru achiziția produselor și a contractelor/ acordurilor-cadru de prestare a serviciilor pentru derularea măsurilor educative la nivel de unitate administrativ-teritorială pentru perioada 2023-2029.</w:t>
      </w:r>
    </w:p>
    <w:p w:rsidR="00F37E21" w:rsidRDefault="00F37E21" w:rsidP="00F37E21">
      <w:pPr>
        <w:tabs>
          <w:tab w:val="center" w:pos="4320"/>
          <w:tab w:val="right" w:pos="8640"/>
        </w:tabs>
      </w:pPr>
      <w:r>
        <w:lastRenderedPageBreak/>
        <w:t xml:space="preserve">     Având în vedere propunerea Compartimentului de resort din cadrul aparatului de specialitate al primarului, referitoare la continuarea organizării și derulării procedurilor de atribuire a acestor contracte și pentru perioada 1 august 2023-31 iulie 2029 tot de către Consiliul județean Teleorman, a fost întocmit prezentul proiect de hotărâre.</w:t>
      </w:r>
    </w:p>
    <w:p w:rsidR="00F37E21" w:rsidRDefault="00F37E21" w:rsidP="00F37E21">
      <w:pPr>
        <w:tabs>
          <w:tab w:val="center" w:pos="4320"/>
          <w:tab w:val="right" w:pos="8640"/>
        </w:tabs>
      </w:pPr>
      <w:r>
        <w:t xml:space="preserve">       Legalitatea aprobării acestui proiect de hotărăre este asigurată de respectarea următoarelor prevederi legale: -Ordonanța Guvernului nr.13 din 18 august 2017 privind aprobarea participării României la Programul pentru şcoli al Uniunii Europene, cu modificarile si completarile ulterioare; -art.129, alin.(1), alin.(2) lit.d), alin (7) lit.a)din O.U.G.nr.57/2019 privind Codul administrativ, cu modificările si completările ulterioare; În vederea respectării prevederilor art.136 alin.8 din O.U.G. nr.57/2019 privind Codul administrativ, cu modificările și completările ulterioare am întocmit prezentul raport de specialitate la proiectul de hotărâre privind neasumarea responsabilității organizării și derulării procedurilor de atribuire a contractelor/acordurilor-cadru pentru achiziția produselor și a contractelor/ acordurilor-cadru de prestare a serviciilor pentru derularea măsurilor educative la nivel de unitate administrativ- teritorială pentru perioada 2023-2029.</w:t>
      </w:r>
    </w:p>
    <w:p w:rsidR="00F37E21" w:rsidRDefault="00F37E21" w:rsidP="00F37E21">
      <w:pPr>
        <w:jc w:val="both"/>
        <w:rPr>
          <w:lang w:val="en-US"/>
        </w:rPr>
      </w:pPr>
    </w:p>
    <w:p w:rsidR="00F37E21" w:rsidRDefault="00F37E21" w:rsidP="00F37E21">
      <w:r>
        <w:t xml:space="preserve">       Având in vedere cele relatate mai sus , președintele de ședință intreabă dacă mai este ceva de adăugat , nemaifiind supune la vot proiectul de hotărâre prezentat.</w:t>
      </w:r>
    </w:p>
    <w:p w:rsidR="00F37E21" w:rsidRDefault="00F37E21" w:rsidP="00F37E21">
      <w:r>
        <w:t xml:space="preserve">       Din numarul total de  9 consilieri locali cati alcatuiesc consiliul local , din care 8 prezenți proiectul de hotărâre privind : </w:t>
      </w:r>
      <w:r w:rsidRPr="004971D4">
        <w:t xml:space="preserve">aprobarea modificării organigramei și statului de funcții al aparatului de specialitate al primarului comunei Sfințești , județul Teleorman </w:t>
      </w:r>
      <w:r>
        <w:t xml:space="preserve">s-a aprobat dupa cum urmeaza :8 </w:t>
      </w:r>
      <w:r>
        <w:rPr>
          <w:b/>
        </w:rPr>
        <w:t xml:space="preserve"> </w:t>
      </w:r>
      <w:r>
        <w:t>voturi pentru, …..  abţineri şi …voturi împotrivă din totalul de  8 consilieri prezenţi .</w:t>
      </w:r>
    </w:p>
    <w:p w:rsidR="00F37E21" w:rsidRDefault="00F37E21" w:rsidP="00F37E21"/>
    <w:p w:rsidR="00F37E21" w:rsidRDefault="00F37E21" w:rsidP="00F37E21">
      <w:pPr>
        <w:jc w:val="center"/>
        <w:rPr>
          <w:lang w:val="it-IT"/>
        </w:rPr>
      </w:pPr>
      <w:r>
        <w:t xml:space="preserve">       In continuare , se trece la punctul 3 de pe ordinea de zi , p</w:t>
      </w:r>
      <w:r w:rsidRPr="009D05AC">
        <w:rPr>
          <w:lang w:val="it-IT"/>
        </w:rPr>
        <w:t xml:space="preserve">rivind modificarea și completarea </w:t>
      </w:r>
    </w:p>
    <w:p w:rsidR="00F37E21" w:rsidRDefault="00F37E21" w:rsidP="00F37E21">
      <w:pPr>
        <w:rPr>
          <w:rFonts w:ascii="Tahoma" w:hAnsi="Tahoma" w:cs="Tahoma"/>
          <w:i/>
          <w:lang w:val="it-IT"/>
        </w:rPr>
      </w:pPr>
      <w:r w:rsidRPr="009D05AC">
        <w:rPr>
          <w:lang w:val="it-IT"/>
        </w:rPr>
        <w:t>anexei la Hotărârea Consiliului local Sfințești nr. 51/10.11.2022 privind clasificarea unor drumuri de in</w:t>
      </w:r>
      <w:r>
        <w:rPr>
          <w:lang w:val="it-IT"/>
        </w:rPr>
        <w:t xml:space="preserve">teres public </w:t>
      </w:r>
      <w:r w:rsidRPr="009D05AC">
        <w:rPr>
          <w:lang w:val="it-IT"/>
        </w:rPr>
        <w:t>local în categoria de folosință străzi aflate în perimetrul Comunei Sfințești și atestarea apartenenței acestor bunuri la domeniul public al Comunei Sfințești, județul Teleorman</w:t>
      </w:r>
      <w:r w:rsidRPr="00D21B5A">
        <w:rPr>
          <w:rFonts w:ascii="Tahoma" w:hAnsi="Tahoma" w:cs="Tahoma"/>
          <w:i/>
          <w:lang w:val="it-IT"/>
        </w:rPr>
        <w:t xml:space="preserve"> </w:t>
      </w:r>
      <w:r>
        <w:rPr>
          <w:rFonts w:ascii="Tahoma" w:hAnsi="Tahoma" w:cs="Tahoma"/>
          <w:i/>
          <w:lang w:val="it-IT"/>
        </w:rPr>
        <w:t>.</w:t>
      </w:r>
    </w:p>
    <w:p w:rsidR="00F37E21" w:rsidRPr="009645FE" w:rsidRDefault="00F37E21" w:rsidP="00F37E21">
      <w:pPr>
        <w:rPr>
          <w:lang w:val="it-IT"/>
        </w:rPr>
      </w:pPr>
      <w:r w:rsidRPr="009645FE">
        <w:rPr>
          <w:i/>
          <w:lang w:val="it-IT"/>
        </w:rPr>
        <w:t xml:space="preserve">     </w:t>
      </w:r>
      <w:r w:rsidRPr="009645FE">
        <w:rPr>
          <w:lang w:val="it-IT"/>
        </w:rPr>
        <w:t xml:space="preserve"> Președintele de ședință dă citire referatului de aprobare al primarului comunei Sfințești, după cum urmează:</w:t>
      </w:r>
    </w:p>
    <w:p w:rsidR="00F37E21" w:rsidRPr="009645FE" w:rsidRDefault="00F37E21" w:rsidP="00F37E21">
      <w:pPr>
        <w:jc w:val="both"/>
      </w:pPr>
      <w:r w:rsidRPr="009645FE">
        <w:t>-    Inițiez acest proiect de hotărâre, spre analiză, dezbatere și aprobare, în conformitate cu prevederile art.136, alin.(1), din Ordonanţa de urgenţă a Guvernului nr. 57/2019 privind Codul administrativ, cu modificările şi completările ulterioare.</w:t>
      </w:r>
    </w:p>
    <w:p w:rsidR="00F37E21" w:rsidRPr="009645FE" w:rsidRDefault="00F37E21" w:rsidP="00F37E21">
      <w:pPr>
        <w:jc w:val="both"/>
      </w:pPr>
      <w:r w:rsidRPr="009645FE">
        <w:tab/>
        <w:t xml:space="preserve">Astfel, în conformitate cu prevederile OG nr. 43/1997 cu modificările și completările ulterioare și ale Ordinului Ministerului transporturilor nr. 49/1998 cu modificările și completările ulterioare, prin hotărârea Consiliului local Sfințeti nr. 51/10.11.2022 s-a aprobat clasificarea unor drumuri de interes public local în categoria funcțională de străzi aflate în perimetru Comunei Sfințeti. Conform anexei la hotarârea anterior menționată au fost clasificate ca străzi un număr de 14 drumuri publice. Coloana 6 din anexa la hotarârea anterior menționată a fost denumită </w:t>
      </w:r>
      <w:r w:rsidRPr="009645FE">
        <w:rPr>
          <w:i/>
        </w:rPr>
        <w:t>Stituația juridică actuală,</w:t>
      </w:r>
      <w:r w:rsidRPr="009645FE">
        <w:t xml:space="preserve"> iar la fiecare din cele 14 poziția la coloana 6 nu s-a completat cu nico mențiune.</w:t>
      </w:r>
    </w:p>
    <w:p w:rsidR="00F37E21" w:rsidRPr="009645FE" w:rsidRDefault="00F37E21" w:rsidP="00F37E21">
      <w:pPr>
        <w:jc w:val="both"/>
      </w:pPr>
    </w:p>
    <w:p w:rsidR="00F37E21" w:rsidRDefault="00F37E21" w:rsidP="00F37E21">
      <w:pPr>
        <w:jc w:val="both"/>
      </w:pPr>
      <w:r w:rsidRPr="009645FE">
        <w:tab/>
      </w:r>
    </w:p>
    <w:p w:rsidR="00F37E21" w:rsidRDefault="00F37E21" w:rsidP="00F37E21">
      <w:pPr>
        <w:jc w:val="both"/>
      </w:pPr>
    </w:p>
    <w:p w:rsidR="00F37E21" w:rsidRPr="009645FE" w:rsidRDefault="00F37E21" w:rsidP="00F37E21">
      <w:pPr>
        <w:jc w:val="both"/>
      </w:pPr>
      <w:r w:rsidRPr="009645FE">
        <w:lastRenderedPageBreak/>
        <w:t>În baza hotărârii Consiliului local Sfințeti nr. 51/10.11.2022 a fost depusă la OCPI documentația necesară în vederea înscreirii în cartea funciară, pentru fiecare din cele 14 imobile obținându-se cartea funciară însă unele cu înscriere provizorie. Acest fapt se datorează lipsei de mențiuni în coloana 6 din anexa la hotărâre unde nu s-a menționat situația juridică a imobilelor.</w:t>
      </w:r>
    </w:p>
    <w:p w:rsidR="00F37E21" w:rsidRPr="009645FE" w:rsidRDefault="00F37E21" w:rsidP="00F37E21">
      <w:pPr>
        <w:jc w:val="both"/>
        <w:rPr>
          <w:b/>
        </w:rPr>
      </w:pPr>
      <w:r w:rsidRPr="009645FE">
        <w:tab/>
        <w:t>Menționez că cele 14 drumuri publice înscrise în anexa la Hotărârea Consiliului local Sfințești nr. 51/2022 sunt bunuri proprietate publică a Comunei Sfințești, figurând înscrise în Inventarul bunurilo care aparțin domeniului public al Comunei Sfințești însușit prin Hotărârea Consiliului local Sfințești nr. 9/19.04.2001 și atesta prin anexa nr. 69 la HGR nr. 1358/2001 cu modificările și completările ulterioare.</w:t>
      </w:r>
    </w:p>
    <w:p w:rsidR="00F37E21" w:rsidRPr="009645FE" w:rsidRDefault="00F37E21" w:rsidP="00F37E21">
      <w:pPr>
        <w:ind w:firstLine="720"/>
        <w:jc w:val="both"/>
      </w:pPr>
      <w:r w:rsidRPr="009645FE">
        <w:t xml:space="preserve">În vederea modificărilor cărților funciare pentru care înscreierea s-a aprobat provizoriu este necesar a se modifica și complete anexa la Hotărârea Consiliului local Sfințești nr. 51/2022 după cum urmează: </w:t>
      </w:r>
    </w:p>
    <w:p w:rsidR="00F37E21" w:rsidRPr="009645FE" w:rsidRDefault="00F37E21" w:rsidP="00F37E21">
      <w:pPr>
        <w:ind w:firstLine="720"/>
        <w:jc w:val="both"/>
        <w:rPr>
          <w:i/>
          <w:lang w:val="it-IT"/>
        </w:rPr>
      </w:pPr>
      <w:r w:rsidRPr="009645FE">
        <w:t xml:space="preserve">a) redenumirea coloanei 6 din anexă după cum urmeză: </w:t>
      </w:r>
      <w:r w:rsidRPr="009645FE">
        <w:rPr>
          <w:i/>
          <w:lang w:val="it-IT"/>
        </w:rPr>
        <w:t>Situația juridică – poziția din Anexa nr. 69 la HGR nr. 1358/2001 cu modificările și completările ulterioare.</w:t>
      </w:r>
    </w:p>
    <w:p w:rsidR="00F37E21" w:rsidRPr="009645FE" w:rsidRDefault="00F37E21" w:rsidP="00F37E21">
      <w:pPr>
        <w:ind w:firstLine="720"/>
        <w:jc w:val="both"/>
        <w:rPr>
          <w:i/>
        </w:rPr>
      </w:pPr>
      <w:r w:rsidRPr="009645FE">
        <w:t xml:space="preserve">b) fiecare poziție din anexă la </w:t>
      </w:r>
      <w:r w:rsidRPr="009645FE">
        <w:rPr>
          <w:lang w:val="it-IT"/>
        </w:rPr>
        <w:t xml:space="preserve">coloana nr. 6 se va completa după cum urmează: </w:t>
      </w:r>
      <w:r w:rsidRPr="009645FE">
        <w:rPr>
          <w:i/>
          <w:lang w:val="it-IT"/>
        </w:rPr>
        <w:t>Domeniul public – poziția nr. ____.</w:t>
      </w:r>
    </w:p>
    <w:p w:rsidR="00F37E21" w:rsidRPr="009645FE" w:rsidRDefault="00F37E21" w:rsidP="00F37E21">
      <w:pPr>
        <w:jc w:val="both"/>
      </w:pPr>
      <w:r w:rsidRPr="009645FE">
        <w:tab/>
        <w:t>Conform art. 129 alin. (2), lit.”c”, Consiliul local exercită atribuţii privind administrarea domeniului public şi privat al comunei, iar potrivit art.139, alin.(2), lit.g), proiectul de hotărâre se aprobă cu majoritate absolută a consilierilor în funcție.</w:t>
      </w:r>
    </w:p>
    <w:p w:rsidR="00F37E21" w:rsidRDefault="00F37E21" w:rsidP="00F37E21">
      <w:pPr>
        <w:jc w:val="both"/>
      </w:pPr>
      <w:r w:rsidRPr="009645FE">
        <w:tab/>
        <w:t xml:space="preserve">În temeiul prevederilor legale, enumerate mai sus, propun </w:t>
      </w:r>
      <w:r w:rsidRPr="009645FE">
        <w:rPr>
          <w:i/>
          <w:lang w:val="it-IT"/>
        </w:rPr>
        <w:t>modificarea și completarea anexei la Hotărârea Consiliului local Sfințești nr. 51/10.11.2022 privind clasificarea unor drumuri de interes public local în categoria de folosință străzi aflate în perimetrul Comunei Sfințești și atestarea apartenenței acestor bunuri la domeniul public al Comunei Sfințești, județul Teleorman</w:t>
      </w:r>
      <w:r w:rsidRPr="009645FE">
        <w:t>, în forma prezentată în proiectul de</w:t>
      </w:r>
      <w:r w:rsidRPr="009645FE">
        <w:rPr>
          <w:rFonts w:ascii="Tahoma" w:hAnsi="Tahoma" w:cs="Tahoma"/>
        </w:rPr>
        <w:t xml:space="preserve"> </w:t>
      </w:r>
      <w:r w:rsidRPr="009645FE">
        <w:t>hotărâre, însoțit de întreaga documentație, pe care în consider oportun și necesar.</w:t>
      </w:r>
    </w:p>
    <w:p w:rsidR="00F37E21" w:rsidRPr="009645FE" w:rsidRDefault="00F37E21" w:rsidP="00F37E21">
      <w:pPr>
        <w:jc w:val="both"/>
        <w:rPr>
          <w:lang w:val="it-IT"/>
        </w:rPr>
      </w:pPr>
    </w:p>
    <w:p w:rsidR="00F37E21" w:rsidRPr="009645FE" w:rsidRDefault="00F37E21" w:rsidP="00F37E21">
      <w:r w:rsidRPr="009645FE">
        <w:t xml:space="preserve">       Având in vedere cele relatate mai sus , președintele de ședință intreabă dacă mai este ceva de adăugat , nemaifiind supune la vot proiectul de hotărâre prezentat.</w:t>
      </w:r>
    </w:p>
    <w:p w:rsidR="00F37E21" w:rsidRPr="009645FE" w:rsidRDefault="00F37E21" w:rsidP="00F37E21">
      <w:r w:rsidRPr="009645FE">
        <w:t xml:space="preserve">       Din numarul total de  9 consilieri locali cati alcatuiesc consiliul local , din care </w:t>
      </w:r>
      <w:r>
        <w:t>8</w:t>
      </w:r>
      <w:r w:rsidRPr="009645FE">
        <w:t xml:space="preserve"> prezenți proiectul de hotărâre privind : aprobarea modificării organigramei și statului de funcții al aparatului de specialitate al primarului comunei Sfințești , județul Teleorman s-a aprobat dupa cum urmeaza :</w:t>
      </w:r>
      <w:r>
        <w:t>8</w:t>
      </w:r>
      <w:r w:rsidRPr="009645FE">
        <w:t xml:space="preserve"> </w:t>
      </w:r>
      <w:r w:rsidRPr="009645FE">
        <w:rPr>
          <w:b/>
        </w:rPr>
        <w:t xml:space="preserve"> </w:t>
      </w:r>
      <w:r w:rsidRPr="009645FE">
        <w:t>voturi pentru, …..  abţineri şi …vo</w:t>
      </w:r>
      <w:r>
        <w:t>turi împotrivă din totalul de  8</w:t>
      </w:r>
      <w:r w:rsidRPr="009645FE">
        <w:t xml:space="preserve"> consilieri prezenţi .</w:t>
      </w:r>
    </w:p>
    <w:p w:rsidR="00F37E21" w:rsidRDefault="00F37E21" w:rsidP="00F37E21"/>
    <w:p w:rsidR="00F37E21" w:rsidRPr="00E7276C" w:rsidRDefault="00F37E21" w:rsidP="00F37E21">
      <w:r>
        <w:t xml:space="preserve">Se trece la punctul 4 de pe ordinea de zi, </w:t>
      </w:r>
      <w:r w:rsidRPr="004971D4">
        <w:t>:</w:t>
      </w:r>
      <w:r w:rsidRPr="00A9459F">
        <w:rPr>
          <w:b/>
          <w:bCs/>
        </w:rPr>
        <w:t xml:space="preserve"> </w:t>
      </w:r>
      <w:r w:rsidRPr="00A9459F">
        <w:rPr>
          <w:bCs/>
        </w:rPr>
        <w:t>privind participarea in cadrul</w:t>
      </w:r>
      <w:r w:rsidRPr="00A9459F">
        <w:rPr>
          <w:bCs/>
          <w:lang w:val="en-US"/>
        </w:rPr>
        <w:t>Apelului de proiecte</w:t>
      </w:r>
    </w:p>
    <w:p w:rsidR="00F37E21" w:rsidRDefault="00F37E21" w:rsidP="00F37E21">
      <w:pPr>
        <w:pStyle w:val="NoSpacing"/>
        <w:jc w:val="center"/>
        <w:rPr>
          <w:rFonts w:ascii="Times New Roman" w:eastAsia="Times New Roman" w:hAnsi="Times New Roman" w:cs="Times New Roman"/>
          <w:bCs/>
          <w:sz w:val="24"/>
          <w:szCs w:val="24"/>
        </w:rPr>
      </w:pPr>
      <w:r w:rsidRPr="00A9459F">
        <w:rPr>
          <w:rFonts w:ascii="Times New Roman" w:hAnsi="Times New Roman" w:cs="Times New Roman"/>
          <w:bCs/>
          <w:sz w:val="24"/>
          <w:szCs w:val="24"/>
        </w:rPr>
        <w:t xml:space="preserve">PNRR/2023/C3/S/I.2.A-Bcu </w:t>
      </w:r>
      <w:r w:rsidRPr="00E7276C">
        <w:rPr>
          <w:rFonts w:ascii="Times New Roman" w:hAnsi="Times New Roman" w:cs="Times New Roman"/>
          <w:bCs/>
          <w:sz w:val="24"/>
          <w:szCs w:val="24"/>
        </w:rPr>
        <w:t>proiectul</w:t>
      </w:r>
      <w:r w:rsidRPr="00E7276C">
        <w:rPr>
          <w:rFonts w:ascii="Times New Roman" w:eastAsia="Times New Roman" w:hAnsi="Times New Roman" w:cs="Times New Roman"/>
          <w:bCs/>
          <w:sz w:val="24"/>
          <w:szCs w:val="24"/>
        </w:rPr>
        <w:t xml:space="preserve"> “REALIZARE </w:t>
      </w:r>
      <w:proofErr w:type="gramStart"/>
      <w:r w:rsidRPr="00E7276C">
        <w:rPr>
          <w:rFonts w:ascii="Times New Roman" w:eastAsia="Times New Roman" w:hAnsi="Times New Roman" w:cs="Times New Roman"/>
          <w:bCs/>
          <w:sz w:val="24"/>
          <w:szCs w:val="24"/>
        </w:rPr>
        <w:t>SISTEM  INTEGRAT</w:t>
      </w:r>
      <w:proofErr w:type="gramEnd"/>
      <w:r w:rsidRPr="00E7276C">
        <w:rPr>
          <w:rFonts w:ascii="Times New Roman" w:eastAsia="Times New Roman" w:hAnsi="Times New Roman" w:cs="Times New Roman"/>
          <w:bCs/>
          <w:sz w:val="24"/>
          <w:szCs w:val="24"/>
        </w:rPr>
        <w:t xml:space="preserve"> DE COLECTARE </w:t>
      </w:r>
    </w:p>
    <w:p w:rsidR="00F37E21" w:rsidRDefault="00F37E21" w:rsidP="00F37E21">
      <w:pPr>
        <w:ind w:firstLine="720"/>
      </w:pPr>
      <w:r w:rsidRPr="00E7276C">
        <w:rPr>
          <w:bCs/>
        </w:rPr>
        <w:t xml:space="preserve">ȘI VALORIFICARE A GUNOIULUI DE GRAJD ÎN COMUNA </w:t>
      </w:r>
      <w:r>
        <w:rPr>
          <w:bCs/>
        </w:rPr>
        <w:t>SFINȚEȘTI</w:t>
      </w:r>
      <w:r w:rsidRPr="00E7276C">
        <w:rPr>
          <w:bCs/>
        </w:rPr>
        <w:t xml:space="preserve">, JUDETUL </w:t>
      </w:r>
      <w:r>
        <w:rPr>
          <w:bCs/>
        </w:rPr>
        <w:t xml:space="preserve">TELEORMAN </w:t>
      </w:r>
      <w:r w:rsidRPr="00E7276C">
        <w:rPr>
          <w:bCs/>
        </w:rPr>
        <w:t xml:space="preserve">”  </w:t>
      </w:r>
      <w:r w:rsidRPr="00E7276C">
        <w:t xml:space="preserve">și aprobarea fazelor Nota conceptuala si Tema de proiectare pentru obiectivul de investitii “REALIZARE SISTEM  INTEGRAT DE COLECTARE ȘI VALORIFICARE A GUNOIULUI DE GRAJD ÎN COMUNA </w:t>
      </w:r>
      <w:r>
        <w:t>SFINȚEȘTI</w:t>
      </w:r>
      <w:r w:rsidRPr="00E7276C">
        <w:t xml:space="preserve">, JUDETUL </w:t>
      </w:r>
      <w:r>
        <w:t>TELEORMAN.</w:t>
      </w:r>
    </w:p>
    <w:p w:rsidR="00F37E21" w:rsidRDefault="00F37E21" w:rsidP="00F37E21">
      <w:pPr>
        <w:ind w:firstLine="720"/>
      </w:pPr>
      <w:r>
        <w:t>Președintele de ședință dă citire Referatului de aprobare intocmit de primarul comunei Sfințești, după cum urmează:</w:t>
      </w:r>
    </w:p>
    <w:p w:rsidR="00F37E21" w:rsidRPr="00D65143" w:rsidRDefault="00F37E21" w:rsidP="00F37E21">
      <w:pPr>
        <w:pStyle w:val="NoSpacing"/>
        <w:jc w:val="center"/>
        <w:rPr>
          <w:rFonts w:ascii="Times New Roman" w:hAnsi="Times New Roman" w:cs="Times New Roman"/>
          <w:b/>
          <w:bCs/>
          <w:sz w:val="24"/>
          <w:szCs w:val="24"/>
        </w:rPr>
      </w:pPr>
      <w:r w:rsidRPr="009B6954">
        <w:rPr>
          <w:rFonts w:ascii="Times New Roman" w:hAnsi="Times New Roman" w:cs="Times New Roman"/>
          <w:sz w:val="24"/>
          <w:szCs w:val="24"/>
        </w:rPr>
        <w:t xml:space="preserve">          Ministerul Mediului, Apelor și Pădurilor a lansat </w:t>
      </w:r>
      <w:proofErr w:type="gramStart"/>
      <w:r w:rsidRPr="009B6954">
        <w:rPr>
          <w:rFonts w:ascii="Times New Roman" w:hAnsi="Times New Roman" w:cs="Times New Roman"/>
          <w:sz w:val="24"/>
          <w:szCs w:val="24"/>
        </w:rPr>
        <w:t>in  dezbatere</w:t>
      </w:r>
      <w:proofErr w:type="gramEnd"/>
      <w:r w:rsidRPr="00D65143">
        <w:rPr>
          <w:rFonts w:ascii="Times New Roman" w:hAnsi="Times New Roman" w:cs="Times New Roman"/>
          <w:sz w:val="24"/>
          <w:szCs w:val="24"/>
        </w:rPr>
        <w:t xml:space="preserve"> publica </w:t>
      </w:r>
      <w:r w:rsidRPr="00D65143">
        <w:rPr>
          <w:rFonts w:ascii="Times New Roman" w:hAnsi="Times New Roman" w:cs="Times New Roman"/>
          <w:b/>
          <w:bCs/>
          <w:sz w:val="24"/>
          <w:szCs w:val="24"/>
        </w:rPr>
        <w:t xml:space="preserve">Apelul de proiecte </w:t>
      </w:r>
    </w:p>
    <w:p w:rsidR="00F37E21" w:rsidRDefault="00F37E21" w:rsidP="00F37E21">
      <w:pPr>
        <w:pStyle w:val="NoSpacing"/>
        <w:rPr>
          <w:rFonts w:ascii="Times New Roman" w:hAnsi="Times New Roman" w:cs="Times New Roman"/>
          <w:sz w:val="24"/>
          <w:szCs w:val="24"/>
        </w:rPr>
      </w:pPr>
      <w:r w:rsidRPr="004274E8">
        <w:rPr>
          <w:rFonts w:ascii="Times New Roman" w:hAnsi="Times New Roman" w:cs="Times New Roman"/>
          <w:b/>
          <w:bCs/>
          <w:sz w:val="24"/>
          <w:szCs w:val="24"/>
        </w:rPr>
        <w:t>PNRR/2023/C3/S/I.2.A-B</w:t>
      </w:r>
      <w:r w:rsidRPr="00D65143">
        <w:rPr>
          <w:rFonts w:ascii="Times New Roman" w:hAnsi="Times New Roman" w:cs="Times New Roman"/>
          <w:sz w:val="24"/>
          <w:szCs w:val="24"/>
        </w:rPr>
        <w:t xml:space="preserve">, finanțat din </w:t>
      </w:r>
      <w:r w:rsidRPr="00D65143">
        <w:rPr>
          <w:rFonts w:ascii="Times New Roman" w:eastAsia="Times New Roman" w:hAnsi="Times New Roman" w:cs="Times New Roman"/>
          <w:color w:val="000000"/>
          <w:sz w:val="24"/>
          <w:szCs w:val="24"/>
        </w:rPr>
        <w:t xml:space="preserve">PlanulNaționaldeRedresareșiReziliență, </w:t>
      </w:r>
      <w:r w:rsidRPr="00D65143">
        <w:rPr>
          <w:rFonts w:ascii="Times New Roman" w:eastAsia="Times New Roman" w:hAnsi="Times New Roman" w:cs="Times New Roman"/>
          <w:b/>
          <w:bCs/>
          <w:color w:val="000000"/>
          <w:sz w:val="24"/>
          <w:szCs w:val="24"/>
        </w:rPr>
        <w:t xml:space="preserve">COMPONENTA C3 – MANAGEMENTUL DEȘEURILOR, </w:t>
      </w:r>
      <w:r w:rsidRPr="004F2633">
        <w:rPr>
          <w:rFonts w:ascii="Times New Roman" w:eastAsia="Times New Roman" w:hAnsi="Times New Roman" w:cs="Times New Roman"/>
          <w:b/>
          <w:bCs/>
          <w:color w:val="000000"/>
          <w:sz w:val="24"/>
          <w:szCs w:val="24"/>
        </w:rPr>
        <w:t xml:space="preserve">Investiția I2 Dezvoltarea </w:t>
      </w:r>
      <w:r w:rsidRPr="004F2633">
        <w:rPr>
          <w:rFonts w:ascii="Times New Roman" w:eastAsia="Times New Roman" w:hAnsi="Times New Roman" w:cs="Times New Roman"/>
          <w:b/>
          <w:bCs/>
          <w:color w:val="000000"/>
          <w:sz w:val="24"/>
          <w:szCs w:val="24"/>
        </w:rPr>
        <w:lastRenderedPageBreak/>
        <w:t>infrastructurii pentru managementul gunoiului de grajd și al altor deșeuri agricole compostabile</w:t>
      </w:r>
      <w:r w:rsidRPr="00D65143">
        <w:rPr>
          <w:rFonts w:ascii="Times New Roman" w:eastAsia="Times New Roman" w:hAnsi="Times New Roman" w:cs="Times New Roman"/>
          <w:b/>
          <w:bCs/>
          <w:color w:val="000000"/>
          <w:sz w:val="24"/>
          <w:szCs w:val="24"/>
        </w:rPr>
        <w:t xml:space="preserve">, </w:t>
      </w:r>
      <w:r w:rsidRPr="004F2633">
        <w:rPr>
          <w:rFonts w:ascii="Times New Roman" w:eastAsia="Times New Roman" w:hAnsi="Times New Roman" w:cs="Times New Roman"/>
          <w:b/>
          <w:bCs/>
          <w:color w:val="000000"/>
          <w:sz w:val="24"/>
          <w:szCs w:val="24"/>
        </w:rPr>
        <w:t>Subinvestiția I2.A-B. Sisteme integrate de colectare și valorificare a gunoiului de grajd</w:t>
      </w:r>
    </w:p>
    <w:p w:rsidR="00F37E21" w:rsidRPr="00A42391" w:rsidRDefault="00F37E21" w:rsidP="00F37E21">
      <w:pPr>
        <w:pStyle w:val="NoSpacing"/>
        <w:tabs>
          <w:tab w:val="left" w:pos="1080"/>
        </w:tabs>
        <w:rPr>
          <w:rFonts w:ascii="Times New Roman" w:hAnsi="Times New Roman" w:cs="Times New Roman"/>
          <w:sz w:val="24"/>
          <w:szCs w:val="24"/>
        </w:rPr>
      </w:pPr>
      <w:r w:rsidRPr="00A42391">
        <w:rPr>
          <w:rFonts w:ascii="Times New Roman" w:hAnsi="Times New Roman" w:cs="Times New Roman"/>
          <w:sz w:val="24"/>
          <w:szCs w:val="24"/>
        </w:rPr>
        <w:t>Componenta C3: MANAGEMENTUL DEȘEURILOR face parte din Pilonul I. Tranziție verde.</w:t>
      </w:r>
    </w:p>
    <w:p w:rsidR="00F37E21" w:rsidRPr="00A42391" w:rsidRDefault="00F37E21" w:rsidP="00F37E21">
      <w:pPr>
        <w:pStyle w:val="NoSpacing"/>
        <w:tabs>
          <w:tab w:val="left" w:pos="1080"/>
        </w:tabs>
        <w:rPr>
          <w:rFonts w:ascii="Times New Roman" w:hAnsi="Times New Roman" w:cs="Times New Roman"/>
          <w:sz w:val="24"/>
          <w:szCs w:val="24"/>
        </w:rPr>
      </w:pPr>
      <w:r w:rsidRPr="00A42391">
        <w:rPr>
          <w:rFonts w:ascii="Times New Roman" w:hAnsi="Times New Roman" w:cs="Times New Roman"/>
          <w:sz w:val="24"/>
          <w:szCs w:val="24"/>
        </w:rPr>
        <w:t>Obiectivul acestei componente reprezintă accelerarea procesului de extindere și modernizare a sistemelor de gestionare a deșeurilor în România, cu accent pe colectarea separată, măsuri de  prevenție,  reducere,  reutilizare  și  valorificare  în  vederea  conformării  cu  directivele aplicabile și tranziției la economie circulară.</w:t>
      </w:r>
    </w:p>
    <w:p w:rsidR="00F37E21" w:rsidRPr="00A42391" w:rsidRDefault="00F37E21" w:rsidP="00F37E21">
      <w:pPr>
        <w:pStyle w:val="NoSpacing"/>
        <w:tabs>
          <w:tab w:val="left" w:pos="1080"/>
        </w:tabs>
        <w:rPr>
          <w:rFonts w:ascii="Times New Roman" w:hAnsi="Times New Roman" w:cs="Times New Roman"/>
          <w:sz w:val="24"/>
          <w:szCs w:val="24"/>
        </w:rPr>
      </w:pPr>
      <w:r>
        <w:rPr>
          <w:rFonts w:ascii="Times New Roman" w:hAnsi="Times New Roman" w:cs="Times New Roman"/>
          <w:sz w:val="24"/>
          <w:szCs w:val="24"/>
        </w:rPr>
        <w:t>A</w:t>
      </w:r>
      <w:r w:rsidRPr="00A42391">
        <w:rPr>
          <w:rFonts w:ascii="Times New Roman" w:hAnsi="Times New Roman" w:cs="Times New Roman"/>
          <w:sz w:val="24"/>
          <w:szCs w:val="24"/>
        </w:rPr>
        <w:t>locarea aferentă investiției I.2.A-B va fi utilizată pentru  realizarea  de  investiții  pentru  înființarea  de  sisteme  integrate  de  colectare  și valorificare a gunoiului de grajd, respectând Comunicarea Comisiei – Orientări tehnice privind aplicarea principiului de „a nu aduce prejudicii semnificative” în temeiul Regulamentului privind Mecanismul de redresare și reziliență (2021/C58/01).</w:t>
      </w:r>
    </w:p>
    <w:p w:rsidR="00F37E21" w:rsidRPr="00A42391" w:rsidRDefault="00F37E21" w:rsidP="00F37E21">
      <w:pPr>
        <w:pStyle w:val="NoSpacing"/>
        <w:tabs>
          <w:tab w:val="left" w:pos="1080"/>
        </w:tabs>
        <w:rPr>
          <w:rFonts w:ascii="Times New Roman" w:hAnsi="Times New Roman" w:cs="Times New Roman"/>
          <w:sz w:val="24"/>
          <w:szCs w:val="24"/>
        </w:rPr>
      </w:pPr>
      <w:proofErr w:type="gramStart"/>
      <w:r w:rsidRPr="00A42391">
        <w:rPr>
          <w:rFonts w:ascii="Times New Roman" w:hAnsi="Times New Roman" w:cs="Times New Roman"/>
          <w:sz w:val="24"/>
          <w:szCs w:val="24"/>
        </w:rPr>
        <w:t>Subinvestiția I2.A-B.</w:t>
      </w:r>
      <w:proofErr w:type="gramEnd"/>
      <w:r w:rsidRPr="00A42391">
        <w:rPr>
          <w:rFonts w:ascii="Times New Roman" w:hAnsi="Times New Roman" w:cs="Times New Roman"/>
          <w:sz w:val="24"/>
          <w:szCs w:val="24"/>
        </w:rPr>
        <w:t xml:space="preserve"> Sisteme integrate de colectare și valorificare a gunoiului de grajd</w:t>
      </w:r>
    </w:p>
    <w:p w:rsidR="00F37E21" w:rsidRPr="00A42391" w:rsidRDefault="00F37E21" w:rsidP="00F37E21">
      <w:pPr>
        <w:pStyle w:val="NoSpacing"/>
        <w:tabs>
          <w:tab w:val="left" w:pos="1080"/>
        </w:tabs>
        <w:rPr>
          <w:rFonts w:ascii="Times New Roman" w:hAnsi="Times New Roman" w:cs="Times New Roman"/>
          <w:sz w:val="24"/>
          <w:szCs w:val="24"/>
        </w:rPr>
      </w:pPr>
      <w:r w:rsidRPr="00A42391">
        <w:rPr>
          <w:rFonts w:ascii="Times New Roman" w:hAnsi="Times New Roman" w:cs="Times New Roman"/>
          <w:sz w:val="24"/>
          <w:szCs w:val="24"/>
        </w:rPr>
        <w:t>Obiectiv  general:  Accelerarea  procesului  de  extindere  și  modernizare  a  sistemelor  de gestionare a deșeurilor în România cu accent pe colectarea separată, măsuri de prevenție, reducere, reutilizare și valorificare în vederea conformării cu directivele aplicabile și tranziției la economia circulară.</w:t>
      </w:r>
    </w:p>
    <w:p w:rsidR="00F37E21" w:rsidRPr="00A42391" w:rsidRDefault="00F37E21" w:rsidP="00F37E21">
      <w:pPr>
        <w:pStyle w:val="NoSpacing"/>
        <w:tabs>
          <w:tab w:val="left" w:pos="1080"/>
        </w:tabs>
        <w:rPr>
          <w:rFonts w:ascii="Times New Roman" w:hAnsi="Times New Roman" w:cs="Times New Roman"/>
          <w:sz w:val="24"/>
          <w:szCs w:val="24"/>
        </w:rPr>
      </w:pPr>
      <w:r w:rsidRPr="00A42391">
        <w:rPr>
          <w:rFonts w:ascii="Times New Roman" w:hAnsi="Times New Roman" w:cs="Times New Roman"/>
          <w:sz w:val="24"/>
          <w:szCs w:val="24"/>
        </w:rPr>
        <w:t xml:space="preserve">Obiectiv specific: Gestionarea sustenabilă a biodeșeurilor agricole, în special a celor provenite din activitățile zootehnice, prin creșterea gradului de valorificare </w:t>
      </w:r>
      <w:proofErr w:type="gramStart"/>
      <w:r w:rsidRPr="00A42391">
        <w:rPr>
          <w:rFonts w:ascii="Times New Roman" w:hAnsi="Times New Roman" w:cs="Times New Roman"/>
          <w:sz w:val="24"/>
          <w:szCs w:val="24"/>
        </w:rPr>
        <w:t>a</w:t>
      </w:r>
      <w:proofErr w:type="gramEnd"/>
      <w:r w:rsidRPr="00A42391">
        <w:rPr>
          <w:rFonts w:ascii="Times New Roman" w:hAnsi="Times New Roman" w:cs="Times New Roman"/>
          <w:sz w:val="24"/>
          <w:szCs w:val="24"/>
        </w:rPr>
        <w:t xml:space="preserve"> acestora în vederea reducerii poluării cu nitrați.</w:t>
      </w:r>
    </w:p>
    <w:p w:rsidR="00F37E21" w:rsidRPr="00A42391" w:rsidRDefault="00F37E21" w:rsidP="00F37E21">
      <w:pPr>
        <w:pStyle w:val="NoSpacing"/>
        <w:tabs>
          <w:tab w:val="left" w:pos="1080"/>
        </w:tabs>
        <w:rPr>
          <w:rFonts w:ascii="Times New Roman" w:hAnsi="Times New Roman" w:cs="Times New Roman"/>
          <w:sz w:val="24"/>
          <w:szCs w:val="24"/>
        </w:rPr>
      </w:pPr>
      <w:r w:rsidRPr="00A42391">
        <w:rPr>
          <w:rFonts w:ascii="Times New Roman" w:hAnsi="Times New Roman" w:cs="Times New Roman"/>
          <w:sz w:val="24"/>
          <w:szCs w:val="24"/>
        </w:rPr>
        <w:t>Pentru Investiția I.2.A-B: Sisteme integrate de colectare și valorificare a gunoiului de grajd, PNRR/2022/C3/S/I.2.A-B se lansează apel de proiecte necompetitiv, pe principiul „primul venit, primul servit”, cu respectarea cerințelor privind încadrarea proiectului în specificațiile impuse de Ghid</w:t>
      </w:r>
      <w:r>
        <w:rPr>
          <w:rFonts w:ascii="Times New Roman" w:hAnsi="Times New Roman" w:cs="Times New Roman"/>
          <w:sz w:val="24"/>
          <w:szCs w:val="24"/>
        </w:rPr>
        <w:t>ul solicitantului.</w:t>
      </w:r>
    </w:p>
    <w:p w:rsidR="00F37E21" w:rsidRPr="00A42391" w:rsidRDefault="00F37E21" w:rsidP="00F37E21">
      <w:pPr>
        <w:pStyle w:val="NoSpacing"/>
        <w:tabs>
          <w:tab w:val="left" w:pos="1080"/>
        </w:tabs>
        <w:rPr>
          <w:rFonts w:ascii="Times New Roman" w:hAnsi="Times New Roman" w:cs="Times New Roman"/>
          <w:sz w:val="24"/>
          <w:szCs w:val="24"/>
        </w:rPr>
      </w:pPr>
      <w:r w:rsidRPr="00A42391">
        <w:rPr>
          <w:rFonts w:ascii="Times New Roman" w:hAnsi="Times New Roman" w:cs="Times New Roman"/>
          <w:sz w:val="24"/>
          <w:szCs w:val="24"/>
        </w:rPr>
        <w:t>Prin intermediul acestei investiții sunt vizate activități/acțiuni specifice înființării și dotării sistemelor integrate de colectare și valorificare a gunoiului de grajd, precum și activități destinate modernizării sistemelor comunale integrate pentru comunitățile care dețin deja o platformă destinată colectării gunoiului de grajd.</w:t>
      </w:r>
    </w:p>
    <w:p w:rsidR="00F37E21" w:rsidRDefault="00F37E21" w:rsidP="00F37E21">
      <w:pPr>
        <w:pStyle w:val="NoSpacing"/>
        <w:tabs>
          <w:tab w:val="left" w:pos="1080"/>
        </w:tabs>
        <w:rPr>
          <w:rFonts w:ascii="Times New Roman" w:hAnsi="Times New Roman" w:cs="Times New Roman"/>
          <w:sz w:val="24"/>
          <w:szCs w:val="24"/>
        </w:rPr>
      </w:pPr>
      <w:proofErr w:type="gramStart"/>
      <w:r w:rsidRPr="00A42391">
        <w:rPr>
          <w:rFonts w:ascii="Times New Roman" w:hAnsi="Times New Roman" w:cs="Times New Roman"/>
          <w:sz w:val="24"/>
          <w:szCs w:val="24"/>
        </w:rPr>
        <w:t>Un</w:t>
      </w:r>
      <w:proofErr w:type="gramEnd"/>
      <w:r w:rsidRPr="00A42391">
        <w:rPr>
          <w:rFonts w:ascii="Times New Roman" w:hAnsi="Times New Roman" w:cs="Times New Roman"/>
          <w:sz w:val="24"/>
          <w:szCs w:val="24"/>
        </w:rPr>
        <w:t xml:space="preserve"> sistem integrat tipic de colectare și valorificare a gunoiului de grajd este compus din următoarele elemente: platformă comunală, platforme individuale pentru fermierii mici și mijlocii și echipamente pentru gestionarea compostului (cu titlu de exemplu: încărcător frontal, tractor, remorcă, mașină de împrăștiat gunoiul de grajd, cisternă vidanjă).</w:t>
      </w:r>
    </w:p>
    <w:p w:rsidR="00F37E21" w:rsidRPr="00A42391" w:rsidRDefault="00F37E21" w:rsidP="00F37E21">
      <w:pPr>
        <w:pStyle w:val="NoSpacing"/>
        <w:tabs>
          <w:tab w:val="left" w:pos="1080"/>
        </w:tabs>
        <w:rPr>
          <w:rFonts w:ascii="Times New Roman" w:hAnsi="Times New Roman" w:cs="Times New Roman"/>
          <w:sz w:val="24"/>
          <w:szCs w:val="24"/>
        </w:rPr>
      </w:pPr>
      <w:r w:rsidRPr="00A42391">
        <w:rPr>
          <w:rFonts w:ascii="Times New Roman" w:hAnsi="Times New Roman" w:cs="Times New Roman"/>
          <w:sz w:val="24"/>
          <w:szCs w:val="24"/>
        </w:rPr>
        <w:t xml:space="preserve">Toate vehiculele autopropulsate (cu motor cu ardere internă) vor trebui să îndeplinească cea mai  nouă  normă  de  poluare  stabilită  prin  Directivele  UE  –  actual  STAGE  V  (conform Regulamentului Delegat (UE) 2018/985 al Comisiei de completare a Regulamentului (UE) nr. 167/2013  al  Parlamentului  European  și  al  Consiliului  în  ceea  ce  privește  cerințele  de performanță de mediu și de performanță a unității de propulsie a vehiculelor agricole și forestiere și ale motoarelor acestora). </w:t>
      </w:r>
      <w:proofErr w:type="gramStart"/>
      <w:r w:rsidRPr="00A42391">
        <w:rPr>
          <w:rFonts w:ascii="Times New Roman" w:hAnsi="Times New Roman" w:cs="Times New Roman"/>
          <w:sz w:val="24"/>
          <w:szCs w:val="24"/>
        </w:rPr>
        <w:t>Se aplică pentru încărcător frontal și tractor.</w:t>
      </w:r>
      <w:proofErr w:type="gramEnd"/>
    </w:p>
    <w:p w:rsidR="00F37E21" w:rsidRPr="00A42391" w:rsidRDefault="00F37E21" w:rsidP="00F37E21">
      <w:pPr>
        <w:pStyle w:val="NoSpacing"/>
        <w:tabs>
          <w:tab w:val="left" w:pos="1080"/>
        </w:tabs>
        <w:rPr>
          <w:rFonts w:ascii="Times New Roman" w:hAnsi="Times New Roman" w:cs="Times New Roman"/>
          <w:sz w:val="24"/>
          <w:szCs w:val="24"/>
        </w:rPr>
      </w:pPr>
      <w:proofErr w:type="gramStart"/>
      <w:r w:rsidRPr="00A42391">
        <w:rPr>
          <w:rFonts w:ascii="Times New Roman" w:hAnsi="Times New Roman" w:cs="Times New Roman"/>
          <w:sz w:val="24"/>
          <w:szCs w:val="24"/>
        </w:rPr>
        <w:t>În cadrul sistemului integrat de colectare și valorificare a gunoiului de grajd pot fi colectate, de la persoane fizice cantități diferite de gunoi de grajd.</w:t>
      </w:r>
      <w:proofErr w:type="gramEnd"/>
    </w:p>
    <w:p w:rsidR="00F37E21" w:rsidRPr="00A42391" w:rsidRDefault="00F37E21" w:rsidP="00F37E21">
      <w:pPr>
        <w:pStyle w:val="NoSpacing"/>
        <w:tabs>
          <w:tab w:val="left" w:pos="1080"/>
        </w:tabs>
        <w:rPr>
          <w:rFonts w:ascii="Times New Roman" w:hAnsi="Times New Roman" w:cs="Times New Roman"/>
          <w:sz w:val="24"/>
          <w:szCs w:val="24"/>
        </w:rPr>
      </w:pPr>
      <w:r w:rsidRPr="00A42391">
        <w:rPr>
          <w:rFonts w:ascii="Times New Roman" w:hAnsi="Times New Roman" w:cs="Times New Roman"/>
          <w:sz w:val="24"/>
          <w:szCs w:val="24"/>
        </w:rPr>
        <w:t>Sistemul integrat de colectare a gunoiului de grajd poate fi compus din platforme comunale și platforme individuale (sateliți ai platformei comunale).</w:t>
      </w:r>
    </w:p>
    <w:p w:rsidR="00F37E21" w:rsidRPr="00A42391" w:rsidRDefault="00F37E21" w:rsidP="00F37E21">
      <w:pPr>
        <w:pStyle w:val="NoSpacing"/>
        <w:tabs>
          <w:tab w:val="left" w:pos="1080"/>
        </w:tabs>
        <w:rPr>
          <w:rFonts w:ascii="Times New Roman" w:hAnsi="Times New Roman" w:cs="Times New Roman"/>
          <w:sz w:val="24"/>
          <w:szCs w:val="24"/>
        </w:rPr>
      </w:pPr>
      <w:r w:rsidRPr="00A42391">
        <w:rPr>
          <w:rFonts w:ascii="Times New Roman" w:hAnsi="Times New Roman" w:cs="Times New Roman"/>
          <w:sz w:val="24"/>
          <w:szCs w:val="24"/>
        </w:rPr>
        <w:t xml:space="preserve">La demararea investiției, precum și la punerea în funcțiune </w:t>
      </w:r>
      <w:proofErr w:type="gramStart"/>
      <w:r w:rsidRPr="00A42391">
        <w:rPr>
          <w:rFonts w:ascii="Times New Roman" w:hAnsi="Times New Roman" w:cs="Times New Roman"/>
          <w:sz w:val="24"/>
          <w:szCs w:val="24"/>
        </w:rPr>
        <w:t>a</w:t>
      </w:r>
      <w:proofErr w:type="gramEnd"/>
      <w:r w:rsidRPr="00A42391">
        <w:rPr>
          <w:rFonts w:ascii="Times New Roman" w:hAnsi="Times New Roman" w:cs="Times New Roman"/>
          <w:sz w:val="24"/>
          <w:szCs w:val="24"/>
        </w:rPr>
        <w:t xml:space="preserve"> acesteia se vor solicita actele de reglementare din partea autorităților competente în domeniul protecției mediului.</w:t>
      </w:r>
    </w:p>
    <w:p w:rsidR="00F37E21" w:rsidRPr="00A42391" w:rsidRDefault="00F37E21" w:rsidP="00F37E21">
      <w:pPr>
        <w:pStyle w:val="NoSpacing"/>
        <w:tabs>
          <w:tab w:val="left" w:pos="1080"/>
        </w:tabs>
        <w:rPr>
          <w:rFonts w:ascii="Times New Roman" w:hAnsi="Times New Roman" w:cs="Times New Roman"/>
          <w:sz w:val="24"/>
          <w:szCs w:val="24"/>
        </w:rPr>
      </w:pPr>
      <w:r w:rsidRPr="00A42391">
        <w:rPr>
          <w:rFonts w:ascii="Times New Roman" w:hAnsi="Times New Roman" w:cs="Times New Roman"/>
          <w:sz w:val="24"/>
          <w:szCs w:val="24"/>
        </w:rPr>
        <w:t>Tipurile de solicitanți care pot depune cereri de finanțare sunt:</w:t>
      </w:r>
    </w:p>
    <w:p w:rsidR="00F37E21" w:rsidRPr="00A42391" w:rsidRDefault="00F37E21" w:rsidP="00F37E21">
      <w:pPr>
        <w:pStyle w:val="NoSpacing"/>
        <w:numPr>
          <w:ilvl w:val="0"/>
          <w:numId w:val="1"/>
        </w:numPr>
        <w:tabs>
          <w:tab w:val="left" w:pos="1080"/>
        </w:tabs>
        <w:rPr>
          <w:rFonts w:ascii="Times New Roman" w:hAnsi="Times New Roman" w:cs="Times New Roman"/>
          <w:sz w:val="24"/>
          <w:szCs w:val="24"/>
        </w:rPr>
      </w:pPr>
      <w:r w:rsidRPr="00A42391">
        <w:rPr>
          <w:rFonts w:ascii="Times New Roman" w:hAnsi="Times New Roman" w:cs="Times New Roman"/>
          <w:sz w:val="24"/>
          <w:szCs w:val="24"/>
        </w:rPr>
        <w:lastRenderedPageBreak/>
        <w:t xml:space="preserve">  Unitățile administrativ Teritoriale (UAT) (inclusiv subdiviziunile/sectoarele acestora),</w:t>
      </w:r>
    </w:p>
    <w:p w:rsidR="00F37E21" w:rsidRPr="00A42391" w:rsidRDefault="00F37E21" w:rsidP="00F37E21">
      <w:pPr>
        <w:pStyle w:val="NoSpacing"/>
        <w:tabs>
          <w:tab w:val="left" w:pos="1080"/>
        </w:tabs>
        <w:rPr>
          <w:rFonts w:ascii="Times New Roman" w:hAnsi="Times New Roman" w:cs="Times New Roman"/>
          <w:sz w:val="24"/>
          <w:szCs w:val="24"/>
        </w:rPr>
      </w:pPr>
      <w:proofErr w:type="gramStart"/>
      <w:r w:rsidRPr="00A42391">
        <w:rPr>
          <w:rFonts w:ascii="Times New Roman" w:hAnsi="Times New Roman" w:cs="Times New Roman"/>
          <w:sz w:val="24"/>
          <w:szCs w:val="24"/>
        </w:rPr>
        <w:t>organizate</w:t>
      </w:r>
      <w:proofErr w:type="gramEnd"/>
      <w:r w:rsidRPr="00A42391">
        <w:rPr>
          <w:rFonts w:ascii="Times New Roman" w:hAnsi="Times New Roman" w:cs="Times New Roman"/>
          <w:sz w:val="24"/>
          <w:szCs w:val="24"/>
        </w:rPr>
        <w:t xml:space="preserve"> la nivel de municipiu, oraș și comună.</w:t>
      </w:r>
    </w:p>
    <w:p w:rsidR="00F37E21" w:rsidRPr="00A42391" w:rsidRDefault="00F37E21" w:rsidP="00F37E21">
      <w:pPr>
        <w:pStyle w:val="NoSpacing"/>
        <w:tabs>
          <w:tab w:val="left" w:pos="1080"/>
        </w:tabs>
        <w:rPr>
          <w:rFonts w:ascii="Times New Roman" w:hAnsi="Times New Roman" w:cs="Times New Roman"/>
          <w:sz w:val="24"/>
          <w:szCs w:val="24"/>
        </w:rPr>
      </w:pPr>
      <w:proofErr w:type="gramStart"/>
      <w:r w:rsidRPr="00A42391">
        <w:rPr>
          <w:rFonts w:ascii="Times New Roman" w:hAnsi="Times New Roman" w:cs="Times New Roman"/>
          <w:sz w:val="24"/>
          <w:szCs w:val="24"/>
        </w:rPr>
        <w:t>Pentru realizarea unei investiții se poate depune o singură cerere de finanțare doar de către solicitantul eligibil.</w:t>
      </w:r>
      <w:proofErr w:type="gramEnd"/>
    </w:p>
    <w:p w:rsidR="00F37E21" w:rsidRPr="00A42391" w:rsidRDefault="00F37E21" w:rsidP="00F37E21">
      <w:pPr>
        <w:pStyle w:val="NoSpacing"/>
        <w:tabs>
          <w:tab w:val="left" w:pos="1080"/>
        </w:tabs>
        <w:rPr>
          <w:rFonts w:ascii="Times New Roman" w:hAnsi="Times New Roman" w:cs="Times New Roman"/>
          <w:sz w:val="24"/>
          <w:szCs w:val="24"/>
        </w:rPr>
      </w:pPr>
      <w:r w:rsidRPr="00A42391">
        <w:rPr>
          <w:rFonts w:ascii="Times New Roman" w:hAnsi="Times New Roman" w:cs="Times New Roman"/>
          <w:sz w:val="24"/>
          <w:szCs w:val="24"/>
        </w:rPr>
        <w:t>Alocarea financiară acordată prin PNRR pentru lucrările destinate înființării de sisteme integrate de colectare și valorificare a gunoiului de grajd și lucrări destinate modernizării sistemelor comunale integrate deja existente, în cadrul Investiției I2, subinvestiției I.2.A-B este de 228.300.000 Euro, echivalentul a 1.119.925.650 lei.</w:t>
      </w:r>
    </w:p>
    <w:p w:rsidR="00F37E21" w:rsidRPr="00A42391" w:rsidRDefault="00F37E21" w:rsidP="00F37E21">
      <w:pPr>
        <w:pStyle w:val="NoSpacing"/>
        <w:tabs>
          <w:tab w:val="left" w:pos="1080"/>
        </w:tabs>
        <w:rPr>
          <w:rFonts w:ascii="Times New Roman" w:hAnsi="Times New Roman" w:cs="Times New Roman"/>
          <w:sz w:val="24"/>
          <w:szCs w:val="24"/>
        </w:rPr>
      </w:pPr>
      <w:r w:rsidRPr="00A42391">
        <w:rPr>
          <w:rFonts w:ascii="Times New Roman" w:hAnsi="Times New Roman" w:cs="Times New Roman"/>
          <w:sz w:val="24"/>
          <w:szCs w:val="24"/>
        </w:rPr>
        <w:t xml:space="preserve">Bugetul programului </w:t>
      </w:r>
      <w:proofErr w:type="gramStart"/>
      <w:r w:rsidRPr="00A42391">
        <w:rPr>
          <w:rFonts w:ascii="Times New Roman" w:hAnsi="Times New Roman" w:cs="Times New Roman"/>
          <w:sz w:val="24"/>
          <w:szCs w:val="24"/>
        </w:rPr>
        <w:t>va</w:t>
      </w:r>
      <w:proofErr w:type="gramEnd"/>
      <w:r w:rsidRPr="00A42391">
        <w:rPr>
          <w:rFonts w:ascii="Times New Roman" w:hAnsi="Times New Roman" w:cs="Times New Roman"/>
          <w:sz w:val="24"/>
          <w:szCs w:val="24"/>
        </w:rPr>
        <w:t xml:space="preserve"> fi divizat în funcție de tipul investiției efectuate, anume:</w:t>
      </w:r>
    </w:p>
    <w:p w:rsidR="00F37E21" w:rsidRPr="00A42391" w:rsidRDefault="00F37E21" w:rsidP="00F37E21">
      <w:pPr>
        <w:pStyle w:val="NoSpacing"/>
        <w:numPr>
          <w:ilvl w:val="0"/>
          <w:numId w:val="1"/>
        </w:numPr>
        <w:tabs>
          <w:tab w:val="left" w:pos="1080"/>
        </w:tabs>
        <w:rPr>
          <w:rFonts w:ascii="Times New Roman" w:hAnsi="Times New Roman" w:cs="Times New Roman"/>
          <w:sz w:val="24"/>
          <w:szCs w:val="24"/>
        </w:rPr>
      </w:pPr>
      <w:r w:rsidRPr="00A42391">
        <w:rPr>
          <w:rFonts w:ascii="Times New Roman" w:hAnsi="Times New Roman" w:cs="Times New Roman"/>
          <w:sz w:val="24"/>
          <w:szCs w:val="24"/>
        </w:rPr>
        <w:t>construire de noi platforme destinate gestionării gunoiului de grajd: 171.900.000</w:t>
      </w:r>
    </w:p>
    <w:p w:rsidR="00F37E21" w:rsidRPr="00A42391" w:rsidRDefault="00F37E21" w:rsidP="00F37E21">
      <w:pPr>
        <w:pStyle w:val="NoSpacing"/>
        <w:tabs>
          <w:tab w:val="left" w:pos="1080"/>
        </w:tabs>
        <w:rPr>
          <w:rFonts w:ascii="Times New Roman" w:hAnsi="Times New Roman" w:cs="Times New Roman"/>
          <w:sz w:val="24"/>
          <w:szCs w:val="24"/>
        </w:rPr>
      </w:pPr>
      <w:proofErr w:type="gramStart"/>
      <w:r w:rsidRPr="00A42391">
        <w:rPr>
          <w:rFonts w:ascii="Times New Roman" w:hAnsi="Times New Roman" w:cs="Times New Roman"/>
          <w:sz w:val="24"/>
          <w:szCs w:val="24"/>
        </w:rPr>
        <w:t>euro</w:t>
      </w:r>
      <w:proofErr w:type="gramEnd"/>
      <w:r w:rsidRPr="00A42391">
        <w:rPr>
          <w:rFonts w:ascii="Times New Roman" w:hAnsi="Times New Roman" w:cs="Times New Roman"/>
          <w:sz w:val="24"/>
          <w:szCs w:val="24"/>
        </w:rPr>
        <w:t>, echivalentul a 843.255.450 lei;</w:t>
      </w:r>
    </w:p>
    <w:p w:rsidR="00F37E21" w:rsidRPr="00A42391" w:rsidRDefault="00F37E21" w:rsidP="00F37E21">
      <w:pPr>
        <w:pStyle w:val="NoSpacing"/>
        <w:numPr>
          <w:ilvl w:val="0"/>
          <w:numId w:val="1"/>
        </w:numPr>
        <w:tabs>
          <w:tab w:val="left" w:pos="1080"/>
        </w:tabs>
        <w:rPr>
          <w:rFonts w:ascii="Times New Roman" w:hAnsi="Times New Roman" w:cs="Times New Roman"/>
          <w:sz w:val="24"/>
          <w:szCs w:val="24"/>
        </w:rPr>
      </w:pPr>
      <w:r w:rsidRPr="00A42391">
        <w:rPr>
          <w:rFonts w:ascii="Times New Roman" w:hAnsi="Times New Roman" w:cs="Times New Roman"/>
          <w:sz w:val="24"/>
          <w:szCs w:val="24"/>
        </w:rPr>
        <w:t>modernizarea platformelor existente de gunoi de grajd: 56.400.000 euro, echivalentul</w:t>
      </w:r>
    </w:p>
    <w:p w:rsidR="00F37E21" w:rsidRDefault="00F37E21" w:rsidP="00F37E21">
      <w:pPr>
        <w:pStyle w:val="NoSpacing"/>
        <w:tabs>
          <w:tab w:val="left" w:pos="1080"/>
        </w:tabs>
        <w:rPr>
          <w:rFonts w:ascii="Times New Roman" w:hAnsi="Times New Roman" w:cs="Times New Roman"/>
          <w:sz w:val="24"/>
          <w:szCs w:val="24"/>
        </w:rPr>
      </w:pPr>
      <w:proofErr w:type="gramStart"/>
      <w:r w:rsidRPr="00A42391">
        <w:rPr>
          <w:rFonts w:ascii="Times New Roman" w:hAnsi="Times New Roman" w:cs="Times New Roman"/>
          <w:sz w:val="24"/>
          <w:szCs w:val="24"/>
        </w:rPr>
        <w:t>a</w:t>
      </w:r>
      <w:proofErr w:type="gramEnd"/>
      <w:r w:rsidRPr="00A42391">
        <w:rPr>
          <w:rFonts w:ascii="Times New Roman" w:hAnsi="Times New Roman" w:cs="Times New Roman"/>
          <w:sz w:val="24"/>
          <w:szCs w:val="24"/>
        </w:rPr>
        <w:t xml:space="preserve"> 276.670.200 lei.</w:t>
      </w:r>
    </w:p>
    <w:p w:rsidR="00F37E21" w:rsidRPr="00A42391" w:rsidRDefault="00F37E21" w:rsidP="00F37E21">
      <w:pPr>
        <w:pStyle w:val="NoSpacing"/>
        <w:tabs>
          <w:tab w:val="left" w:pos="1080"/>
        </w:tabs>
        <w:rPr>
          <w:rFonts w:ascii="Times New Roman" w:hAnsi="Times New Roman" w:cs="Times New Roman"/>
          <w:b/>
          <w:bCs/>
          <w:sz w:val="24"/>
          <w:szCs w:val="24"/>
        </w:rPr>
      </w:pPr>
      <w:r w:rsidRPr="00A42391">
        <w:rPr>
          <w:rFonts w:ascii="Times New Roman" w:hAnsi="Times New Roman" w:cs="Times New Roman"/>
          <w:b/>
          <w:bCs/>
          <w:sz w:val="24"/>
          <w:szCs w:val="24"/>
        </w:rPr>
        <w:t>Valoarea maximă eligibilă a proiectului corespunde unui:</w:t>
      </w:r>
    </w:p>
    <w:p w:rsidR="00F37E21" w:rsidRPr="00A42391" w:rsidRDefault="00F37E21" w:rsidP="00F37E21">
      <w:pPr>
        <w:pStyle w:val="NoSpacing"/>
        <w:tabs>
          <w:tab w:val="left" w:pos="1080"/>
        </w:tabs>
        <w:rPr>
          <w:rFonts w:ascii="Times New Roman" w:hAnsi="Times New Roman" w:cs="Times New Roman"/>
          <w:sz w:val="24"/>
          <w:szCs w:val="24"/>
        </w:rPr>
      </w:pPr>
      <w:r w:rsidRPr="00A42391">
        <w:rPr>
          <w:rFonts w:ascii="Times New Roman" w:hAnsi="Times New Roman" w:cs="Times New Roman"/>
          <w:sz w:val="24"/>
          <w:szCs w:val="24"/>
        </w:rPr>
        <w:t>●Cost de cel mult 1.000.000 euro/platformă comunală nou înființată, echivalentul a</w:t>
      </w:r>
    </w:p>
    <w:p w:rsidR="00F37E21" w:rsidRPr="00A42391" w:rsidRDefault="00F37E21" w:rsidP="00F37E21">
      <w:pPr>
        <w:pStyle w:val="NoSpacing"/>
        <w:tabs>
          <w:tab w:val="left" w:pos="1080"/>
        </w:tabs>
        <w:rPr>
          <w:rFonts w:ascii="Times New Roman" w:hAnsi="Times New Roman" w:cs="Times New Roman"/>
          <w:sz w:val="24"/>
          <w:szCs w:val="24"/>
        </w:rPr>
      </w:pPr>
      <w:proofErr w:type="gramStart"/>
      <w:r w:rsidRPr="00A42391">
        <w:rPr>
          <w:rFonts w:ascii="Times New Roman" w:hAnsi="Times New Roman" w:cs="Times New Roman"/>
          <w:sz w:val="24"/>
          <w:szCs w:val="24"/>
        </w:rPr>
        <w:t>4.905.500 lei, fără TVA.</w:t>
      </w:r>
      <w:proofErr w:type="gramEnd"/>
    </w:p>
    <w:p w:rsidR="00F37E21" w:rsidRPr="00A42391" w:rsidRDefault="00F37E21" w:rsidP="00F37E21">
      <w:pPr>
        <w:pStyle w:val="NoSpacing"/>
        <w:tabs>
          <w:tab w:val="left" w:pos="1080"/>
        </w:tabs>
        <w:rPr>
          <w:rFonts w:ascii="Times New Roman" w:hAnsi="Times New Roman" w:cs="Times New Roman"/>
          <w:sz w:val="24"/>
          <w:szCs w:val="24"/>
        </w:rPr>
      </w:pPr>
      <w:r w:rsidRPr="00A42391">
        <w:rPr>
          <w:rFonts w:ascii="Times New Roman" w:hAnsi="Times New Roman" w:cs="Times New Roman"/>
          <w:sz w:val="24"/>
          <w:szCs w:val="24"/>
        </w:rPr>
        <w:t xml:space="preserve">●Cost </w:t>
      </w:r>
      <w:proofErr w:type="gramStart"/>
      <w:r w:rsidRPr="00A42391">
        <w:rPr>
          <w:rFonts w:ascii="Times New Roman" w:hAnsi="Times New Roman" w:cs="Times New Roman"/>
          <w:sz w:val="24"/>
          <w:szCs w:val="24"/>
        </w:rPr>
        <w:t>de  cel</w:t>
      </w:r>
      <w:proofErr w:type="gramEnd"/>
      <w:r w:rsidRPr="00A42391">
        <w:rPr>
          <w:rFonts w:ascii="Times New Roman" w:hAnsi="Times New Roman" w:cs="Times New Roman"/>
          <w:sz w:val="24"/>
          <w:szCs w:val="24"/>
        </w:rPr>
        <w:t xml:space="preserve"> mult 500.000 euro/platformă comunală modernizată, echivalentul  a</w:t>
      </w:r>
    </w:p>
    <w:p w:rsidR="00F37E21" w:rsidRPr="00A42391" w:rsidRDefault="00F37E21" w:rsidP="00F37E21">
      <w:pPr>
        <w:pStyle w:val="NoSpacing"/>
        <w:tabs>
          <w:tab w:val="left" w:pos="1080"/>
        </w:tabs>
        <w:rPr>
          <w:rFonts w:ascii="Times New Roman" w:hAnsi="Times New Roman" w:cs="Times New Roman"/>
          <w:sz w:val="24"/>
          <w:szCs w:val="24"/>
        </w:rPr>
      </w:pPr>
      <w:proofErr w:type="gramStart"/>
      <w:r w:rsidRPr="00A42391">
        <w:rPr>
          <w:rFonts w:ascii="Times New Roman" w:hAnsi="Times New Roman" w:cs="Times New Roman"/>
          <w:sz w:val="24"/>
          <w:szCs w:val="24"/>
        </w:rPr>
        <w:t>2.452.750 lei, fără TVA.</w:t>
      </w:r>
      <w:proofErr w:type="gramEnd"/>
    </w:p>
    <w:p w:rsidR="00F37E21" w:rsidRPr="006C2F06" w:rsidRDefault="00F37E21" w:rsidP="00F37E21">
      <w:pPr>
        <w:pStyle w:val="NoSpacing"/>
        <w:rPr>
          <w:rFonts w:ascii="Times New Roman" w:hAnsi="Times New Roman" w:cs="Times New Roman"/>
          <w:sz w:val="24"/>
          <w:szCs w:val="24"/>
        </w:rPr>
      </w:pPr>
      <w:r w:rsidRPr="006C2F06">
        <w:rPr>
          <w:rFonts w:ascii="Times New Roman" w:hAnsi="Times New Roman" w:cs="Times New Roman"/>
          <w:sz w:val="24"/>
          <w:szCs w:val="24"/>
        </w:rPr>
        <w:t xml:space="preserve">Rata de finanțare acordată prin PNRR </w:t>
      </w:r>
      <w:proofErr w:type="gramStart"/>
      <w:r w:rsidRPr="006C2F06">
        <w:rPr>
          <w:rFonts w:ascii="Times New Roman" w:hAnsi="Times New Roman" w:cs="Times New Roman"/>
          <w:sz w:val="24"/>
          <w:szCs w:val="24"/>
        </w:rPr>
        <w:t>este</w:t>
      </w:r>
      <w:proofErr w:type="gramEnd"/>
      <w:r w:rsidRPr="006C2F06">
        <w:rPr>
          <w:rFonts w:ascii="Times New Roman" w:hAnsi="Times New Roman" w:cs="Times New Roman"/>
          <w:sz w:val="24"/>
          <w:szCs w:val="24"/>
        </w:rPr>
        <w:t xml:space="preserve"> de 100% din valoarea cheltuielilor eligibile ale proiectului, fără TVA.</w:t>
      </w:r>
    </w:p>
    <w:p w:rsidR="00F37E21" w:rsidRPr="006C2F06" w:rsidRDefault="00F37E21" w:rsidP="00F37E21">
      <w:pPr>
        <w:pStyle w:val="NoSpacing"/>
        <w:rPr>
          <w:rFonts w:ascii="Times New Roman" w:hAnsi="Times New Roman" w:cs="Times New Roman"/>
          <w:sz w:val="24"/>
          <w:szCs w:val="24"/>
        </w:rPr>
      </w:pPr>
      <w:r w:rsidRPr="006C2F06">
        <w:rPr>
          <w:rFonts w:ascii="Times New Roman" w:hAnsi="Times New Roman" w:cs="Times New Roman"/>
          <w:sz w:val="24"/>
          <w:szCs w:val="24"/>
        </w:rPr>
        <w:t xml:space="preserve">În cazul proiectelor depuse în cadrul PNRR, valoarea TVA aferentă cheltuielilor eligibile </w:t>
      </w:r>
      <w:proofErr w:type="gramStart"/>
      <w:r w:rsidRPr="006C2F06">
        <w:rPr>
          <w:rFonts w:ascii="Times New Roman" w:hAnsi="Times New Roman" w:cs="Times New Roman"/>
          <w:sz w:val="24"/>
          <w:szCs w:val="24"/>
        </w:rPr>
        <w:t>va</w:t>
      </w:r>
      <w:proofErr w:type="gramEnd"/>
      <w:r w:rsidRPr="006C2F06">
        <w:rPr>
          <w:rFonts w:ascii="Times New Roman" w:hAnsi="Times New Roman" w:cs="Times New Roman"/>
          <w:sz w:val="24"/>
          <w:szCs w:val="24"/>
        </w:rPr>
        <w:t xml:space="preserve"> fi suportată de la bugetul de stat, din bugetul coordonatorului de reforme și/sau investiții pentru Componenta C3 – Managementul Deșeurilor, în conformitate cu legislația în vigoare. În condițiile în care cheltuiala aferentă TVA a fost solicitată ea </w:t>
      </w:r>
      <w:proofErr w:type="gramStart"/>
      <w:r w:rsidRPr="006C2F06">
        <w:rPr>
          <w:rFonts w:ascii="Times New Roman" w:hAnsi="Times New Roman" w:cs="Times New Roman"/>
          <w:sz w:val="24"/>
          <w:szCs w:val="24"/>
        </w:rPr>
        <w:t>este</w:t>
      </w:r>
      <w:proofErr w:type="gramEnd"/>
      <w:r w:rsidRPr="006C2F06">
        <w:rPr>
          <w:rFonts w:ascii="Times New Roman" w:hAnsi="Times New Roman" w:cs="Times New Roman"/>
          <w:sz w:val="24"/>
          <w:szCs w:val="24"/>
        </w:rPr>
        <w:t xml:space="preserve"> eligibilă doar dacă nu este recuperabilă, rambursabilă sau compensată prin orice alte mijloace potrivit prevederilor legale.</w:t>
      </w:r>
    </w:p>
    <w:p w:rsidR="00F37E21" w:rsidRPr="006C2F06" w:rsidRDefault="00F37E21" w:rsidP="00F37E21">
      <w:pPr>
        <w:pStyle w:val="NoSpacing"/>
        <w:rPr>
          <w:rFonts w:ascii="Times New Roman" w:hAnsi="Times New Roman" w:cs="Times New Roman"/>
          <w:sz w:val="24"/>
          <w:szCs w:val="24"/>
        </w:rPr>
      </w:pPr>
      <w:r w:rsidRPr="006C2F06">
        <w:rPr>
          <w:rFonts w:ascii="Times New Roman" w:hAnsi="Times New Roman" w:cs="Times New Roman"/>
          <w:sz w:val="24"/>
          <w:szCs w:val="24"/>
        </w:rPr>
        <w:t xml:space="preserve">În afara valorii eligibile a proiectului, orice </w:t>
      </w:r>
      <w:proofErr w:type="gramStart"/>
      <w:r w:rsidRPr="006C2F06">
        <w:rPr>
          <w:rFonts w:ascii="Times New Roman" w:hAnsi="Times New Roman" w:cs="Times New Roman"/>
          <w:sz w:val="24"/>
          <w:szCs w:val="24"/>
        </w:rPr>
        <w:t>altă</w:t>
      </w:r>
      <w:proofErr w:type="gramEnd"/>
      <w:r w:rsidRPr="006C2F06">
        <w:rPr>
          <w:rFonts w:ascii="Times New Roman" w:hAnsi="Times New Roman" w:cs="Times New Roman"/>
          <w:sz w:val="24"/>
          <w:szCs w:val="24"/>
        </w:rPr>
        <w:t xml:space="preserve"> cheltuială constituie cheltuială neeligibilă și va fi suportată de beneficiar.</w:t>
      </w:r>
    </w:p>
    <w:p w:rsidR="00F37E21" w:rsidRDefault="00F37E21" w:rsidP="00F37E21">
      <w:pPr>
        <w:pStyle w:val="NoSpacing"/>
        <w:rPr>
          <w:rFonts w:ascii="Times New Roman" w:hAnsi="Times New Roman" w:cs="Times New Roman"/>
          <w:sz w:val="24"/>
          <w:szCs w:val="24"/>
        </w:rPr>
      </w:pPr>
      <w:r w:rsidRPr="00AE1012">
        <w:rPr>
          <w:rFonts w:ascii="Times New Roman" w:hAnsi="Times New Roman" w:cs="Times New Roman"/>
          <w:b/>
          <w:bCs/>
          <w:sz w:val="24"/>
          <w:szCs w:val="24"/>
        </w:rPr>
        <w:t>Eligibilitatea cheltuielilor</w:t>
      </w:r>
    </w:p>
    <w:p w:rsidR="00F37E21" w:rsidRPr="00AE1012" w:rsidRDefault="00F37E21" w:rsidP="00F37E21">
      <w:pPr>
        <w:pStyle w:val="NoSpacing"/>
        <w:rPr>
          <w:rFonts w:ascii="Times New Roman" w:hAnsi="Times New Roman" w:cs="Times New Roman"/>
          <w:b/>
          <w:bCs/>
          <w:sz w:val="24"/>
          <w:szCs w:val="24"/>
        </w:rPr>
      </w:pPr>
      <w:r w:rsidRPr="00AE1012">
        <w:rPr>
          <w:rFonts w:ascii="Times New Roman" w:hAnsi="Times New Roman" w:cs="Times New Roman"/>
          <w:b/>
          <w:bCs/>
          <w:sz w:val="24"/>
          <w:szCs w:val="24"/>
        </w:rPr>
        <w:t>Cheltuieli eligibile:</w:t>
      </w:r>
    </w:p>
    <w:p w:rsidR="00F37E21" w:rsidRPr="00AE1012" w:rsidRDefault="00F37E21" w:rsidP="00F37E21">
      <w:pPr>
        <w:pStyle w:val="NoSpacing"/>
        <w:rPr>
          <w:rFonts w:ascii="Times New Roman" w:hAnsi="Times New Roman" w:cs="Times New Roman"/>
          <w:sz w:val="24"/>
          <w:szCs w:val="24"/>
        </w:rPr>
      </w:pPr>
      <w:r w:rsidRPr="00AE1012">
        <w:rPr>
          <w:rFonts w:ascii="Times New Roman" w:hAnsi="Times New Roman" w:cs="Times New Roman"/>
          <w:sz w:val="24"/>
          <w:szCs w:val="24"/>
        </w:rPr>
        <w:t xml:space="preserve">a)  </w:t>
      </w:r>
      <w:proofErr w:type="gramStart"/>
      <w:r w:rsidRPr="00AE1012">
        <w:rPr>
          <w:rFonts w:ascii="Times New Roman" w:hAnsi="Times New Roman" w:cs="Times New Roman"/>
          <w:sz w:val="24"/>
          <w:szCs w:val="24"/>
        </w:rPr>
        <w:t>Cheltuielile  pentru</w:t>
      </w:r>
      <w:proofErr w:type="gramEnd"/>
      <w:r w:rsidRPr="00AE1012">
        <w:rPr>
          <w:rFonts w:ascii="Times New Roman" w:hAnsi="Times New Roman" w:cs="Times New Roman"/>
          <w:sz w:val="24"/>
          <w:szCs w:val="24"/>
        </w:rPr>
        <w:t xml:space="preserve">  construirea  sistemelor  integrate  comunale  de  gestionare  a</w:t>
      </w:r>
    </w:p>
    <w:p w:rsidR="00F37E21" w:rsidRPr="00AE1012" w:rsidRDefault="00F37E21" w:rsidP="00F37E21">
      <w:pPr>
        <w:pStyle w:val="NoSpacing"/>
        <w:rPr>
          <w:rFonts w:ascii="Times New Roman" w:hAnsi="Times New Roman" w:cs="Times New Roman"/>
          <w:sz w:val="24"/>
          <w:szCs w:val="24"/>
        </w:rPr>
      </w:pPr>
      <w:proofErr w:type="gramStart"/>
      <w:r w:rsidRPr="00AE1012">
        <w:rPr>
          <w:rFonts w:ascii="Times New Roman" w:hAnsi="Times New Roman" w:cs="Times New Roman"/>
          <w:sz w:val="24"/>
          <w:szCs w:val="24"/>
        </w:rPr>
        <w:t>gunoiului</w:t>
      </w:r>
      <w:proofErr w:type="gramEnd"/>
      <w:r w:rsidRPr="00AE1012">
        <w:rPr>
          <w:rFonts w:ascii="Times New Roman" w:hAnsi="Times New Roman" w:cs="Times New Roman"/>
          <w:sz w:val="24"/>
          <w:szCs w:val="24"/>
        </w:rPr>
        <w:t xml:space="preserve"> de grajd:</w:t>
      </w:r>
    </w:p>
    <w:p w:rsidR="00F37E21" w:rsidRPr="00AE1012" w:rsidRDefault="00F37E21" w:rsidP="00F37E21">
      <w:pPr>
        <w:pStyle w:val="NoSpacing"/>
        <w:rPr>
          <w:rFonts w:ascii="Times New Roman" w:hAnsi="Times New Roman" w:cs="Times New Roman"/>
          <w:sz w:val="24"/>
          <w:szCs w:val="24"/>
        </w:rPr>
      </w:pPr>
      <w:proofErr w:type="gramStart"/>
      <w:r w:rsidRPr="00AE1012">
        <w:rPr>
          <w:rFonts w:ascii="Times New Roman" w:hAnsi="Times New Roman" w:cs="Times New Roman"/>
          <w:sz w:val="24"/>
          <w:szCs w:val="24"/>
        </w:rPr>
        <w:t>  Lucrări</w:t>
      </w:r>
      <w:proofErr w:type="gramEnd"/>
      <w:r w:rsidRPr="00AE1012">
        <w:rPr>
          <w:rFonts w:ascii="Times New Roman" w:hAnsi="Times New Roman" w:cs="Times New Roman"/>
          <w:sz w:val="24"/>
          <w:szCs w:val="24"/>
        </w:rPr>
        <w:t xml:space="preserve"> privind pregătirea și amenajarea terenului;</w:t>
      </w:r>
    </w:p>
    <w:p w:rsidR="00F37E21" w:rsidRPr="00AE1012" w:rsidRDefault="00F37E21" w:rsidP="00F37E21">
      <w:pPr>
        <w:pStyle w:val="NoSpacing"/>
        <w:rPr>
          <w:rFonts w:ascii="Times New Roman" w:hAnsi="Times New Roman" w:cs="Times New Roman"/>
          <w:sz w:val="24"/>
          <w:szCs w:val="24"/>
        </w:rPr>
      </w:pPr>
      <w:proofErr w:type="gramStart"/>
      <w:r w:rsidRPr="00AE1012">
        <w:rPr>
          <w:rFonts w:ascii="Times New Roman" w:hAnsi="Times New Roman" w:cs="Times New Roman"/>
          <w:sz w:val="24"/>
          <w:szCs w:val="24"/>
        </w:rPr>
        <w:t>  Lucrări</w:t>
      </w:r>
      <w:proofErr w:type="gramEnd"/>
      <w:r w:rsidRPr="00AE1012">
        <w:rPr>
          <w:rFonts w:ascii="Times New Roman" w:hAnsi="Times New Roman" w:cs="Times New Roman"/>
          <w:sz w:val="24"/>
          <w:szCs w:val="24"/>
        </w:rPr>
        <w:t xml:space="preserve"> pentru asigurarea utilităților necesare obiectivului de investiții, până la limita</w:t>
      </w:r>
    </w:p>
    <w:p w:rsidR="00F37E21" w:rsidRPr="00AE1012" w:rsidRDefault="00F37E21" w:rsidP="00F37E21">
      <w:pPr>
        <w:pStyle w:val="NoSpacing"/>
        <w:rPr>
          <w:rFonts w:ascii="Times New Roman" w:hAnsi="Times New Roman" w:cs="Times New Roman"/>
          <w:sz w:val="24"/>
          <w:szCs w:val="24"/>
        </w:rPr>
      </w:pPr>
      <w:proofErr w:type="gramStart"/>
      <w:r w:rsidRPr="00AE1012">
        <w:rPr>
          <w:rFonts w:ascii="Times New Roman" w:hAnsi="Times New Roman" w:cs="Times New Roman"/>
          <w:sz w:val="24"/>
          <w:szCs w:val="24"/>
        </w:rPr>
        <w:t>amplasamentului</w:t>
      </w:r>
      <w:proofErr w:type="gramEnd"/>
      <w:r w:rsidRPr="00AE1012">
        <w:rPr>
          <w:rFonts w:ascii="Times New Roman" w:hAnsi="Times New Roman" w:cs="Times New Roman"/>
          <w:sz w:val="24"/>
          <w:szCs w:val="24"/>
        </w:rPr>
        <w:t>;</w:t>
      </w:r>
    </w:p>
    <w:p w:rsidR="00F37E21" w:rsidRPr="00AE1012" w:rsidRDefault="00F37E21" w:rsidP="00F37E21">
      <w:pPr>
        <w:pStyle w:val="NoSpacing"/>
        <w:rPr>
          <w:rFonts w:ascii="Times New Roman" w:hAnsi="Times New Roman" w:cs="Times New Roman"/>
          <w:sz w:val="24"/>
          <w:szCs w:val="24"/>
        </w:rPr>
      </w:pPr>
      <w:proofErr w:type="gramStart"/>
      <w:r w:rsidRPr="00AE1012">
        <w:rPr>
          <w:rFonts w:ascii="Times New Roman" w:hAnsi="Times New Roman" w:cs="Times New Roman"/>
          <w:sz w:val="24"/>
          <w:szCs w:val="24"/>
        </w:rPr>
        <w:t>  Lucrări</w:t>
      </w:r>
      <w:proofErr w:type="gramEnd"/>
      <w:r w:rsidRPr="00AE1012">
        <w:rPr>
          <w:rFonts w:ascii="Times New Roman" w:hAnsi="Times New Roman" w:cs="Times New Roman"/>
          <w:sz w:val="24"/>
          <w:szCs w:val="24"/>
        </w:rPr>
        <w:t xml:space="preserve"> privind organizarea de șantier;</w:t>
      </w:r>
    </w:p>
    <w:p w:rsidR="00F37E21" w:rsidRPr="00AE1012" w:rsidRDefault="00F37E21" w:rsidP="00F37E21">
      <w:pPr>
        <w:pStyle w:val="NoSpacing"/>
        <w:rPr>
          <w:rFonts w:ascii="Times New Roman" w:hAnsi="Times New Roman" w:cs="Times New Roman"/>
          <w:sz w:val="24"/>
          <w:szCs w:val="24"/>
        </w:rPr>
      </w:pPr>
      <w:proofErr w:type="gramStart"/>
      <w:r w:rsidRPr="00AE1012">
        <w:rPr>
          <w:rFonts w:ascii="Times New Roman" w:hAnsi="Times New Roman" w:cs="Times New Roman"/>
          <w:sz w:val="24"/>
          <w:szCs w:val="24"/>
        </w:rPr>
        <w:t>  Construc</w:t>
      </w:r>
      <w:proofErr w:type="gramEnd"/>
      <w:r w:rsidRPr="00AE1012">
        <w:rPr>
          <w:rFonts w:ascii="Times New Roman" w:hAnsi="Times New Roman" w:cs="Times New Roman"/>
          <w:sz w:val="24"/>
          <w:szCs w:val="24"/>
        </w:rPr>
        <w:t>ții și instalații;</w:t>
      </w:r>
    </w:p>
    <w:p w:rsidR="00F37E21" w:rsidRPr="00AE1012" w:rsidRDefault="00F37E21" w:rsidP="00F37E21">
      <w:pPr>
        <w:pStyle w:val="NoSpacing"/>
        <w:rPr>
          <w:rFonts w:ascii="Times New Roman" w:hAnsi="Times New Roman" w:cs="Times New Roman"/>
          <w:sz w:val="24"/>
          <w:szCs w:val="24"/>
        </w:rPr>
      </w:pPr>
      <w:proofErr w:type="gramStart"/>
      <w:r w:rsidRPr="00AE1012">
        <w:rPr>
          <w:rFonts w:ascii="Times New Roman" w:hAnsi="Times New Roman" w:cs="Times New Roman"/>
          <w:sz w:val="24"/>
          <w:szCs w:val="24"/>
        </w:rPr>
        <w:t>  Vehicule</w:t>
      </w:r>
      <w:proofErr w:type="gramEnd"/>
      <w:r w:rsidRPr="00AE1012">
        <w:rPr>
          <w:rFonts w:ascii="Times New Roman" w:hAnsi="Times New Roman" w:cs="Times New Roman"/>
          <w:sz w:val="24"/>
          <w:szCs w:val="24"/>
        </w:rPr>
        <w:t xml:space="preserve"> (cu titlu de exemplu: tractor, remorcă, cisternă vidanja);</w:t>
      </w:r>
    </w:p>
    <w:p w:rsidR="00F37E21" w:rsidRPr="00AE1012" w:rsidRDefault="00F37E21" w:rsidP="00F37E21">
      <w:pPr>
        <w:pStyle w:val="NoSpacing"/>
        <w:rPr>
          <w:rFonts w:ascii="Times New Roman" w:hAnsi="Times New Roman" w:cs="Times New Roman"/>
          <w:sz w:val="24"/>
          <w:szCs w:val="24"/>
        </w:rPr>
      </w:pPr>
      <w:proofErr w:type="gramStart"/>
      <w:r w:rsidRPr="00AE1012">
        <w:rPr>
          <w:rFonts w:ascii="Times New Roman" w:hAnsi="Times New Roman" w:cs="Times New Roman"/>
          <w:sz w:val="24"/>
          <w:szCs w:val="24"/>
        </w:rPr>
        <w:t>  Dotări</w:t>
      </w:r>
      <w:proofErr w:type="gramEnd"/>
      <w:r w:rsidRPr="00AE1012">
        <w:rPr>
          <w:rFonts w:ascii="Times New Roman" w:hAnsi="Times New Roman" w:cs="Times New Roman"/>
          <w:sz w:val="24"/>
          <w:szCs w:val="24"/>
        </w:rPr>
        <w:t>, utilaje,  echipamente tehnologice și funcționale (vehiculele achiziționate în cadrul acestei măsuri să fie echipate cu cea mai bună tehnologie disponibilă din punctul de vedere al respectării mediului);</w:t>
      </w:r>
    </w:p>
    <w:p w:rsidR="00F37E21" w:rsidRPr="00AE1012" w:rsidRDefault="00F37E21" w:rsidP="00F37E21">
      <w:pPr>
        <w:pStyle w:val="NoSpacing"/>
        <w:rPr>
          <w:rFonts w:ascii="Times New Roman" w:hAnsi="Times New Roman" w:cs="Times New Roman"/>
          <w:sz w:val="24"/>
          <w:szCs w:val="24"/>
        </w:rPr>
      </w:pPr>
      <w:proofErr w:type="gramStart"/>
      <w:r w:rsidRPr="00AE1012">
        <w:rPr>
          <w:rFonts w:ascii="Times New Roman" w:hAnsi="Times New Roman" w:cs="Times New Roman"/>
          <w:sz w:val="24"/>
          <w:szCs w:val="24"/>
        </w:rPr>
        <w:t>  Cheltuielile</w:t>
      </w:r>
      <w:proofErr w:type="gramEnd"/>
      <w:r w:rsidRPr="00AE1012">
        <w:rPr>
          <w:rFonts w:ascii="Times New Roman" w:hAnsi="Times New Roman" w:cs="Times New Roman"/>
          <w:sz w:val="24"/>
          <w:szCs w:val="24"/>
        </w:rPr>
        <w:t xml:space="preserve"> cu proiectarea și consultanța - capitol 3 din conținutul-cadru al devizului general aprobat prin Hotărârea Guvernului nr. 907/2016, cu modificările și completările ulterioare;</w:t>
      </w:r>
    </w:p>
    <w:p w:rsidR="00F37E21" w:rsidRPr="00AE1012" w:rsidRDefault="00F37E21" w:rsidP="00F37E21">
      <w:pPr>
        <w:pStyle w:val="NoSpacing"/>
        <w:rPr>
          <w:rFonts w:ascii="Times New Roman" w:hAnsi="Times New Roman" w:cs="Times New Roman"/>
          <w:sz w:val="24"/>
          <w:szCs w:val="24"/>
        </w:rPr>
      </w:pPr>
      <w:proofErr w:type="gramStart"/>
      <w:r w:rsidRPr="00AE1012">
        <w:rPr>
          <w:rFonts w:ascii="Times New Roman" w:hAnsi="Times New Roman" w:cs="Times New Roman"/>
          <w:sz w:val="24"/>
          <w:szCs w:val="24"/>
        </w:rPr>
        <w:t>  Probe</w:t>
      </w:r>
      <w:proofErr w:type="gramEnd"/>
      <w:r w:rsidRPr="00AE1012">
        <w:rPr>
          <w:rFonts w:ascii="Times New Roman" w:hAnsi="Times New Roman" w:cs="Times New Roman"/>
          <w:sz w:val="24"/>
          <w:szCs w:val="24"/>
        </w:rPr>
        <w:t xml:space="preserve"> tehnologice și teste;</w:t>
      </w:r>
    </w:p>
    <w:p w:rsidR="00F37E21" w:rsidRPr="00AE1012" w:rsidRDefault="00F37E21" w:rsidP="00F37E21">
      <w:pPr>
        <w:pStyle w:val="NoSpacing"/>
        <w:rPr>
          <w:rFonts w:ascii="Times New Roman" w:hAnsi="Times New Roman" w:cs="Times New Roman"/>
          <w:sz w:val="24"/>
          <w:szCs w:val="24"/>
        </w:rPr>
      </w:pPr>
      <w:proofErr w:type="gramStart"/>
      <w:r w:rsidRPr="00AE1012">
        <w:rPr>
          <w:rFonts w:ascii="Times New Roman" w:hAnsi="Times New Roman" w:cs="Times New Roman"/>
          <w:sz w:val="24"/>
          <w:szCs w:val="24"/>
        </w:rPr>
        <w:t>  Alte</w:t>
      </w:r>
      <w:proofErr w:type="gramEnd"/>
      <w:r w:rsidRPr="00AE1012">
        <w:rPr>
          <w:rFonts w:ascii="Times New Roman" w:hAnsi="Times New Roman" w:cs="Times New Roman"/>
          <w:sz w:val="24"/>
          <w:szCs w:val="24"/>
        </w:rPr>
        <w:t xml:space="preserve"> costuri generale necesare implementării proiectului.</w:t>
      </w:r>
    </w:p>
    <w:p w:rsidR="00F37E21" w:rsidRPr="00AE1012" w:rsidRDefault="00F37E21" w:rsidP="00F37E21">
      <w:pPr>
        <w:pStyle w:val="NoSpacing"/>
        <w:rPr>
          <w:rFonts w:ascii="Times New Roman" w:hAnsi="Times New Roman" w:cs="Times New Roman"/>
          <w:sz w:val="24"/>
          <w:szCs w:val="24"/>
        </w:rPr>
      </w:pPr>
      <w:r w:rsidRPr="00AE1012">
        <w:rPr>
          <w:rFonts w:ascii="Times New Roman" w:hAnsi="Times New Roman" w:cs="Times New Roman"/>
          <w:sz w:val="24"/>
          <w:szCs w:val="24"/>
        </w:rPr>
        <w:t>b)  Cheltuieli pentru modernizarea sistemelor comunale integrate pentru comunități cu</w:t>
      </w:r>
    </w:p>
    <w:p w:rsidR="00F37E21" w:rsidRPr="00AE1012" w:rsidRDefault="00F37E21" w:rsidP="00F37E21">
      <w:pPr>
        <w:pStyle w:val="NoSpacing"/>
        <w:rPr>
          <w:rFonts w:ascii="Times New Roman" w:hAnsi="Times New Roman" w:cs="Times New Roman"/>
          <w:sz w:val="24"/>
          <w:szCs w:val="24"/>
        </w:rPr>
      </w:pPr>
      <w:proofErr w:type="gramStart"/>
      <w:r w:rsidRPr="00AE1012">
        <w:rPr>
          <w:rFonts w:ascii="Times New Roman" w:hAnsi="Times New Roman" w:cs="Times New Roman"/>
          <w:sz w:val="24"/>
          <w:szCs w:val="24"/>
        </w:rPr>
        <w:t>platformă</w:t>
      </w:r>
      <w:proofErr w:type="gramEnd"/>
      <w:r w:rsidRPr="00AE1012">
        <w:rPr>
          <w:rFonts w:ascii="Times New Roman" w:hAnsi="Times New Roman" w:cs="Times New Roman"/>
          <w:sz w:val="24"/>
          <w:szCs w:val="24"/>
        </w:rPr>
        <w:t xml:space="preserve"> comunală existentă:</w:t>
      </w:r>
    </w:p>
    <w:p w:rsidR="00F37E21" w:rsidRPr="00AE1012" w:rsidRDefault="00F37E21" w:rsidP="00F37E21">
      <w:pPr>
        <w:pStyle w:val="NoSpacing"/>
        <w:rPr>
          <w:rFonts w:ascii="Times New Roman" w:hAnsi="Times New Roman" w:cs="Times New Roman"/>
          <w:sz w:val="24"/>
          <w:szCs w:val="24"/>
        </w:rPr>
      </w:pPr>
      <w:proofErr w:type="gramStart"/>
      <w:r w:rsidRPr="00AE1012">
        <w:rPr>
          <w:rFonts w:ascii="Times New Roman" w:hAnsi="Times New Roman" w:cs="Times New Roman"/>
          <w:sz w:val="24"/>
          <w:szCs w:val="24"/>
        </w:rPr>
        <w:lastRenderedPageBreak/>
        <w:t>  Lucrări</w:t>
      </w:r>
      <w:proofErr w:type="gramEnd"/>
      <w:r w:rsidRPr="00AE1012">
        <w:rPr>
          <w:rFonts w:ascii="Times New Roman" w:hAnsi="Times New Roman" w:cs="Times New Roman"/>
          <w:sz w:val="24"/>
          <w:szCs w:val="24"/>
        </w:rPr>
        <w:t xml:space="preserve"> privind organizarea de șantier;</w:t>
      </w:r>
    </w:p>
    <w:p w:rsidR="00F37E21" w:rsidRPr="00AE1012" w:rsidRDefault="00F37E21" w:rsidP="00F37E21">
      <w:pPr>
        <w:pStyle w:val="NoSpacing"/>
        <w:rPr>
          <w:rFonts w:ascii="Times New Roman" w:hAnsi="Times New Roman" w:cs="Times New Roman"/>
          <w:sz w:val="24"/>
          <w:szCs w:val="24"/>
        </w:rPr>
      </w:pPr>
      <w:proofErr w:type="gramStart"/>
      <w:r w:rsidRPr="00AE1012">
        <w:rPr>
          <w:rFonts w:ascii="Times New Roman" w:hAnsi="Times New Roman" w:cs="Times New Roman"/>
          <w:sz w:val="24"/>
          <w:szCs w:val="24"/>
        </w:rPr>
        <w:t>  Vehicule</w:t>
      </w:r>
      <w:proofErr w:type="gramEnd"/>
      <w:r w:rsidRPr="00AE1012">
        <w:rPr>
          <w:rFonts w:ascii="Times New Roman" w:hAnsi="Times New Roman" w:cs="Times New Roman"/>
          <w:sz w:val="24"/>
          <w:szCs w:val="24"/>
        </w:rPr>
        <w:t xml:space="preserve"> (cu titlu de exemplu: tractor, remorcă, cisternă vidanja);</w:t>
      </w:r>
    </w:p>
    <w:p w:rsidR="00F37E21" w:rsidRPr="00AE1012" w:rsidRDefault="00F37E21" w:rsidP="00F37E21">
      <w:pPr>
        <w:pStyle w:val="NoSpacing"/>
        <w:rPr>
          <w:rFonts w:ascii="Times New Roman" w:hAnsi="Times New Roman" w:cs="Times New Roman"/>
          <w:sz w:val="24"/>
          <w:szCs w:val="24"/>
        </w:rPr>
      </w:pPr>
      <w:proofErr w:type="gramStart"/>
      <w:r w:rsidRPr="00AE1012">
        <w:rPr>
          <w:rFonts w:ascii="Times New Roman" w:hAnsi="Times New Roman" w:cs="Times New Roman"/>
          <w:sz w:val="24"/>
          <w:szCs w:val="24"/>
        </w:rPr>
        <w:t>  Dotări</w:t>
      </w:r>
      <w:proofErr w:type="gramEnd"/>
      <w:r w:rsidRPr="00AE1012">
        <w:rPr>
          <w:rFonts w:ascii="Times New Roman" w:hAnsi="Times New Roman" w:cs="Times New Roman"/>
          <w:sz w:val="24"/>
          <w:szCs w:val="24"/>
        </w:rPr>
        <w:t>, utilaje,  echipamente tehnologice și funcționale (vehiculele achiziționate în cadrul acestei măsuri să fie echipate cu cea mai bună tehnologie disponibilă din punctul de vedere al respectării mediului);</w:t>
      </w:r>
    </w:p>
    <w:p w:rsidR="00F37E21" w:rsidRPr="00AE1012" w:rsidRDefault="00F37E21" w:rsidP="00F37E21">
      <w:pPr>
        <w:pStyle w:val="NoSpacing"/>
        <w:rPr>
          <w:rFonts w:ascii="Times New Roman" w:hAnsi="Times New Roman" w:cs="Times New Roman"/>
          <w:sz w:val="24"/>
          <w:szCs w:val="24"/>
        </w:rPr>
      </w:pPr>
      <w:proofErr w:type="gramStart"/>
      <w:r w:rsidRPr="00AE1012">
        <w:rPr>
          <w:rFonts w:ascii="Times New Roman" w:hAnsi="Times New Roman" w:cs="Times New Roman"/>
          <w:sz w:val="24"/>
          <w:szCs w:val="24"/>
        </w:rPr>
        <w:t>  Cheltuielile</w:t>
      </w:r>
      <w:proofErr w:type="gramEnd"/>
      <w:r w:rsidRPr="00AE1012">
        <w:rPr>
          <w:rFonts w:ascii="Times New Roman" w:hAnsi="Times New Roman" w:cs="Times New Roman"/>
          <w:sz w:val="24"/>
          <w:szCs w:val="24"/>
        </w:rPr>
        <w:t xml:space="preserve"> cu proiectarea și consultanța - capitol 3 din conținutul-cadru al devizului general aprobat prin Hotărârea Guvernului nr. 907/2016, cu modificările și completările ulterioare;</w:t>
      </w:r>
    </w:p>
    <w:p w:rsidR="00F37E21" w:rsidRPr="00AE1012" w:rsidRDefault="00F37E21" w:rsidP="00F37E21">
      <w:pPr>
        <w:pStyle w:val="NoSpacing"/>
        <w:rPr>
          <w:rFonts w:ascii="Times New Roman" w:hAnsi="Times New Roman" w:cs="Times New Roman"/>
          <w:sz w:val="24"/>
          <w:szCs w:val="24"/>
        </w:rPr>
      </w:pPr>
      <w:proofErr w:type="gramStart"/>
      <w:r w:rsidRPr="00AE1012">
        <w:rPr>
          <w:rFonts w:ascii="Times New Roman" w:hAnsi="Times New Roman" w:cs="Times New Roman"/>
          <w:sz w:val="24"/>
          <w:szCs w:val="24"/>
        </w:rPr>
        <w:t>  Probe</w:t>
      </w:r>
      <w:proofErr w:type="gramEnd"/>
      <w:r w:rsidRPr="00AE1012">
        <w:rPr>
          <w:rFonts w:ascii="Times New Roman" w:hAnsi="Times New Roman" w:cs="Times New Roman"/>
          <w:sz w:val="24"/>
          <w:szCs w:val="24"/>
        </w:rPr>
        <w:t xml:space="preserve"> tehnologice și teste;</w:t>
      </w:r>
    </w:p>
    <w:p w:rsidR="00F37E21" w:rsidRPr="00AE1012" w:rsidRDefault="00F37E21" w:rsidP="00F37E21">
      <w:pPr>
        <w:pStyle w:val="NoSpacing"/>
        <w:rPr>
          <w:rFonts w:ascii="Times New Roman" w:hAnsi="Times New Roman" w:cs="Times New Roman"/>
          <w:sz w:val="24"/>
          <w:szCs w:val="24"/>
        </w:rPr>
      </w:pPr>
      <w:proofErr w:type="gramStart"/>
      <w:r w:rsidRPr="00AE1012">
        <w:rPr>
          <w:rFonts w:ascii="Times New Roman" w:hAnsi="Times New Roman" w:cs="Times New Roman"/>
          <w:sz w:val="24"/>
          <w:szCs w:val="24"/>
        </w:rPr>
        <w:t>  Alte</w:t>
      </w:r>
      <w:proofErr w:type="gramEnd"/>
      <w:r w:rsidRPr="00AE1012">
        <w:rPr>
          <w:rFonts w:ascii="Times New Roman" w:hAnsi="Times New Roman" w:cs="Times New Roman"/>
          <w:sz w:val="24"/>
          <w:szCs w:val="24"/>
        </w:rPr>
        <w:t xml:space="preserve"> costuri generale necesare implementării proiectului.</w:t>
      </w:r>
    </w:p>
    <w:p w:rsidR="00F37E21" w:rsidRPr="00AE1012" w:rsidRDefault="00F37E21" w:rsidP="00F37E21">
      <w:pPr>
        <w:pStyle w:val="NoSpacing"/>
        <w:rPr>
          <w:rFonts w:ascii="Times New Roman" w:hAnsi="Times New Roman" w:cs="Times New Roman"/>
          <w:sz w:val="24"/>
          <w:szCs w:val="24"/>
        </w:rPr>
      </w:pPr>
      <w:r w:rsidRPr="00AE1012">
        <w:rPr>
          <w:rFonts w:ascii="Times New Roman" w:hAnsi="Times New Roman" w:cs="Times New Roman"/>
          <w:sz w:val="24"/>
          <w:szCs w:val="24"/>
        </w:rPr>
        <w:t>c)  Cheltuieli privind informarea și publicitatea. Vor fi respectate prevederile manualului</w:t>
      </w:r>
    </w:p>
    <w:p w:rsidR="00F37E21" w:rsidRPr="00AE1012" w:rsidRDefault="00F37E21" w:rsidP="00F37E21">
      <w:pPr>
        <w:pStyle w:val="NoSpacing"/>
        <w:rPr>
          <w:rFonts w:ascii="Times New Roman" w:hAnsi="Times New Roman" w:cs="Times New Roman"/>
          <w:sz w:val="24"/>
          <w:szCs w:val="24"/>
        </w:rPr>
      </w:pPr>
      <w:proofErr w:type="gramStart"/>
      <w:r w:rsidRPr="00AE1012">
        <w:rPr>
          <w:rFonts w:ascii="Times New Roman" w:hAnsi="Times New Roman" w:cs="Times New Roman"/>
          <w:sz w:val="24"/>
          <w:szCs w:val="24"/>
        </w:rPr>
        <w:t>de</w:t>
      </w:r>
      <w:proofErr w:type="gramEnd"/>
      <w:r w:rsidRPr="00AE1012">
        <w:rPr>
          <w:rFonts w:ascii="Times New Roman" w:hAnsi="Times New Roman" w:cs="Times New Roman"/>
          <w:sz w:val="24"/>
          <w:szCs w:val="24"/>
        </w:rPr>
        <w:t xml:space="preserve"> identitate vizuală (MIV) al PNRR</w:t>
      </w:r>
    </w:p>
    <w:p w:rsidR="00F37E21" w:rsidRPr="00AE1012" w:rsidRDefault="00F37E21" w:rsidP="00F37E21">
      <w:pPr>
        <w:pStyle w:val="NoSpacing"/>
        <w:rPr>
          <w:rFonts w:ascii="Times New Roman" w:hAnsi="Times New Roman" w:cs="Times New Roman"/>
          <w:sz w:val="24"/>
          <w:szCs w:val="24"/>
        </w:rPr>
      </w:pPr>
      <w:proofErr w:type="gramStart"/>
      <w:r w:rsidRPr="00AE1012">
        <w:rPr>
          <w:rFonts w:ascii="Times New Roman" w:hAnsi="Times New Roman" w:cs="Times New Roman"/>
          <w:sz w:val="24"/>
          <w:szCs w:val="24"/>
        </w:rPr>
        <w:t>  Cheltuieli</w:t>
      </w:r>
      <w:proofErr w:type="gramEnd"/>
      <w:r w:rsidRPr="00AE1012">
        <w:rPr>
          <w:rFonts w:ascii="Times New Roman" w:hAnsi="Times New Roman" w:cs="Times New Roman"/>
          <w:sz w:val="24"/>
          <w:szCs w:val="24"/>
        </w:rPr>
        <w:t xml:space="preserve"> cu emiterea comunicatelor de presă privind începerea lucrărilor;</w:t>
      </w:r>
    </w:p>
    <w:p w:rsidR="00F37E21" w:rsidRPr="00AE1012" w:rsidRDefault="00F37E21" w:rsidP="00F37E21">
      <w:pPr>
        <w:pStyle w:val="NoSpacing"/>
        <w:rPr>
          <w:rFonts w:ascii="Times New Roman" w:hAnsi="Times New Roman" w:cs="Times New Roman"/>
          <w:sz w:val="24"/>
          <w:szCs w:val="24"/>
        </w:rPr>
      </w:pPr>
      <w:proofErr w:type="gramStart"/>
      <w:r w:rsidRPr="00AE1012">
        <w:rPr>
          <w:rFonts w:ascii="Times New Roman" w:hAnsi="Times New Roman" w:cs="Times New Roman"/>
          <w:sz w:val="24"/>
          <w:szCs w:val="24"/>
        </w:rPr>
        <w:t>  Cheltuieli</w:t>
      </w:r>
      <w:proofErr w:type="gramEnd"/>
      <w:r w:rsidRPr="00AE1012">
        <w:rPr>
          <w:rFonts w:ascii="Times New Roman" w:hAnsi="Times New Roman" w:cs="Times New Roman"/>
          <w:sz w:val="24"/>
          <w:szCs w:val="24"/>
        </w:rPr>
        <w:t xml:space="preserve"> cu panouri publicitare provizorii afișate la locul implementării proiectului;</w:t>
      </w:r>
    </w:p>
    <w:p w:rsidR="00F37E21" w:rsidRPr="00AE1012" w:rsidRDefault="00F37E21" w:rsidP="00F37E21">
      <w:pPr>
        <w:pStyle w:val="NoSpacing"/>
        <w:rPr>
          <w:rFonts w:ascii="Times New Roman" w:hAnsi="Times New Roman" w:cs="Times New Roman"/>
          <w:sz w:val="24"/>
          <w:szCs w:val="24"/>
        </w:rPr>
      </w:pPr>
      <w:proofErr w:type="gramStart"/>
      <w:r w:rsidRPr="00AE1012">
        <w:rPr>
          <w:rFonts w:ascii="Times New Roman" w:hAnsi="Times New Roman" w:cs="Times New Roman"/>
          <w:sz w:val="24"/>
          <w:szCs w:val="24"/>
        </w:rPr>
        <w:t>  Cheltuieli</w:t>
      </w:r>
      <w:proofErr w:type="gramEnd"/>
      <w:r w:rsidRPr="00AE1012">
        <w:rPr>
          <w:rFonts w:ascii="Times New Roman" w:hAnsi="Times New Roman" w:cs="Times New Roman"/>
          <w:sz w:val="24"/>
          <w:szCs w:val="24"/>
        </w:rPr>
        <w:t xml:space="preserve">   cu mijloace de afișare outdoor pe o perioadă de minimum 6 luni de la</w:t>
      </w:r>
    </w:p>
    <w:p w:rsidR="00F37E21" w:rsidRPr="00AE1012" w:rsidRDefault="00F37E21" w:rsidP="00F37E21">
      <w:pPr>
        <w:pStyle w:val="NoSpacing"/>
        <w:rPr>
          <w:rFonts w:ascii="Times New Roman" w:hAnsi="Times New Roman" w:cs="Times New Roman"/>
          <w:sz w:val="24"/>
          <w:szCs w:val="24"/>
        </w:rPr>
      </w:pPr>
      <w:r w:rsidRPr="00AE1012">
        <w:rPr>
          <w:rFonts w:ascii="Times New Roman" w:hAnsi="Times New Roman" w:cs="Times New Roman"/>
          <w:sz w:val="24"/>
          <w:szCs w:val="24"/>
        </w:rPr>
        <w:t>recepție și în cuantumul a minimum 1% din valoarea cheltuielilor eligibile;</w:t>
      </w:r>
    </w:p>
    <w:p w:rsidR="00F37E21" w:rsidRPr="00AE1012" w:rsidRDefault="00F37E21" w:rsidP="00F37E21">
      <w:pPr>
        <w:pStyle w:val="NoSpacing"/>
        <w:rPr>
          <w:rFonts w:ascii="Times New Roman" w:hAnsi="Times New Roman" w:cs="Times New Roman"/>
          <w:sz w:val="24"/>
          <w:szCs w:val="24"/>
        </w:rPr>
      </w:pPr>
      <w:proofErr w:type="gramStart"/>
      <w:r w:rsidRPr="00AE1012">
        <w:rPr>
          <w:rFonts w:ascii="Times New Roman" w:hAnsi="Times New Roman" w:cs="Times New Roman"/>
          <w:sz w:val="24"/>
          <w:szCs w:val="24"/>
        </w:rPr>
        <w:t>  Cheltuieli</w:t>
      </w:r>
      <w:proofErr w:type="gramEnd"/>
      <w:r w:rsidRPr="00AE1012">
        <w:rPr>
          <w:rFonts w:ascii="Times New Roman" w:hAnsi="Times New Roman" w:cs="Times New Roman"/>
          <w:sz w:val="24"/>
          <w:szCs w:val="24"/>
        </w:rPr>
        <w:t xml:space="preserve"> ocazionate de campaniile de informare și conștientizare a populației/grupului</w:t>
      </w:r>
    </w:p>
    <w:p w:rsidR="00F37E21" w:rsidRPr="00AE1012" w:rsidRDefault="00F37E21" w:rsidP="00F37E21">
      <w:pPr>
        <w:pStyle w:val="NoSpacing"/>
        <w:rPr>
          <w:rFonts w:ascii="Times New Roman" w:hAnsi="Times New Roman" w:cs="Times New Roman"/>
          <w:sz w:val="24"/>
          <w:szCs w:val="24"/>
        </w:rPr>
      </w:pPr>
      <w:proofErr w:type="gramStart"/>
      <w:r w:rsidRPr="00AE1012">
        <w:rPr>
          <w:rFonts w:ascii="Times New Roman" w:hAnsi="Times New Roman" w:cs="Times New Roman"/>
          <w:sz w:val="24"/>
          <w:szCs w:val="24"/>
        </w:rPr>
        <w:t>țintă.</w:t>
      </w:r>
      <w:proofErr w:type="gramEnd"/>
    </w:p>
    <w:p w:rsidR="00F37E21" w:rsidRPr="00AE1012" w:rsidRDefault="00F37E21" w:rsidP="00F37E21">
      <w:pPr>
        <w:pStyle w:val="NoSpacing"/>
        <w:rPr>
          <w:rFonts w:ascii="Times New Roman" w:hAnsi="Times New Roman" w:cs="Times New Roman"/>
          <w:sz w:val="24"/>
          <w:szCs w:val="24"/>
        </w:rPr>
      </w:pPr>
      <w:r w:rsidRPr="00AE1012">
        <w:rPr>
          <w:rFonts w:ascii="Times New Roman" w:hAnsi="Times New Roman" w:cs="Times New Roman"/>
          <w:sz w:val="24"/>
          <w:szCs w:val="24"/>
        </w:rPr>
        <w:t>Costurile generale reprezentând plata arhitecților, inginerilor și consultanților, taxelor legale, a studiilor de fezabilitate/documentațiilor de avizare a lucrărilor de intervenții, a proiectului tehnic</w:t>
      </w:r>
      <w:proofErr w:type="gramStart"/>
      <w:r w:rsidRPr="00AE1012">
        <w:rPr>
          <w:rFonts w:ascii="Times New Roman" w:hAnsi="Times New Roman" w:cs="Times New Roman"/>
          <w:sz w:val="24"/>
          <w:szCs w:val="24"/>
        </w:rPr>
        <w:t>,  achizi</w:t>
      </w:r>
      <w:proofErr w:type="gramEnd"/>
      <w:r w:rsidRPr="00AE1012">
        <w:rPr>
          <w:rFonts w:ascii="Times New Roman" w:hAnsi="Times New Roman" w:cs="Times New Roman"/>
          <w:sz w:val="24"/>
          <w:szCs w:val="24"/>
        </w:rPr>
        <w:t>ționarea  de  licențe  și  patente,  pentru  pregătirea  și/sau  implementarea proiectului, direct legate de investiție, se vor încadra în maximum 10% din totalul cheltuielilor eligibile pentru proiectele care prevăd construcții – montaj.</w:t>
      </w:r>
    </w:p>
    <w:p w:rsidR="00F37E21" w:rsidRDefault="00F37E21" w:rsidP="00F37E21">
      <w:pPr>
        <w:pStyle w:val="NoSpacing"/>
        <w:rPr>
          <w:rFonts w:ascii="Times New Roman" w:hAnsi="Times New Roman" w:cs="Times New Roman"/>
          <w:sz w:val="24"/>
          <w:szCs w:val="24"/>
        </w:rPr>
      </w:pPr>
      <w:proofErr w:type="gramStart"/>
      <w:r w:rsidRPr="00AE1012">
        <w:rPr>
          <w:rFonts w:ascii="Times New Roman" w:hAnsi="Times New Roman" w:cs="Times New Roman"/>
          <w:sz w:val="24"/>
          <w:szCs w:val="24"/>
        </w:rPr>
        <w:t>Pot fi depuse cereri de transfer și pentru avansurile facturate și prevăzute în contractele încheiate de beneficiar cu contractorii săi, în limita a maximum 30% din valoarea totala a fiecărui contract.</w:t>
      </w:r>
      <w:proofErr w:type="gramEnd"/>
    </w:p>
    <w:p w:rsidR="00F37E21" w:rsidRPr="00AE1012" w:rsidRDefault="00F37E21" w:rsidP="00F37E21">
      <w:pPr>
        <w:pStyle w:val="NoSpacing"/>
        <w:rPr>
          <w:rFonts w:ascii="Times New Roman" w:hAnsi="Times New Roman" w:cs="Times New Roman"/>
          <w:b/>
          <w:bCs/>
          <w:sz w:val="24"/>
          <w:szCs w:val="24"/>
        </w:rPr>
      </w:pPr>
      <w:r w:rsidRPr="00AE1012">
        <w:rPr>
          <w:rFonts w:ascii="Times New Roman" w:hAnsi="Times New Roman" w:cs="Times New Roman"/>
          <w:b/>
          <w:bCs/>
          <w:sz w:val="24"/>
          <w:szCs w:val="24"/>
        </w:rPr>
        <w:t>Cheltuieli neeligibile:</w:t>
      </w:r>
    </w:p>
    <w:p w:rsidR="00F37E21" w:rsidRPr="00AE1012" w:rsidRDefault="00F37E21" w:rsidP="00F37E21">
      <w:pPr>
        <w:pStyle w:val="NoSpacing"/>
        <w:rPr>
          <w:rFonts w:ascii="Times New Roman" w:hAnsi="Times New Roman" w:cs="Times New Roman"/>
          <w:sz w:val="24"/>
          <w:szCs w:val="24"/>
        </w:rPr>
      </w:pPr>
      <w:r w:rsidRPr="00AE1012">
        <w:rPr>
          <w:rFonts w:ascii="Times New Roman" w:hAnsi="Times New Roman" w:cs="Times New Roman"/>
          <w:sz w:val="24"/>
          <w:szCs w:val="24"/>
        </w:rPr>
        <w:t>Sumele care vor depăși maximă eligibilă a proiectului și valoarea TVAaferentă acestora;</w:t>
      </w:r>
    </w:p>
    <w:p w:rsidR="00F37E21" w:rsidRPr="00AE1012" w:rsidRDefault="00F37E21" w:rsidP="00F37E21">
      <w:pPr>
        <w:pStyle w:val="NoSpacing"/>
        <w:rPr>
          <w:rFonts w:ascii="Times New Roman" w:hAnsi="Times New Roman" w:cs="Times New Roman"/>
          <w:sz w:val="24"/>
          <w:szCs w:val="24"/>
        </w:rPr>
      </w:pPr>
      <w:proofErr w:type="gramStart"/>
      <w:r w:rsidRPr="00AE1012">
        <w:rPr>
          <w:rFonts w:ascii="Times New Roman" w:hAnsi="Times New Roman" w:cs="Times New Roman"/>
          <w:sz w:val="24"/>
          <w:szCs w:val="24"/>
        </w:rPr>
        <w:t>  Orice</w:t>
      </w:r>
      <w:proofErr w:type="gramEnd"/>
      <w:r w:rsidRPr="00AE1012">
        <w:rPr>
          <w:rFonts w:ascii="Times New Roman" w:hAnsi="Times New Roman" w:cs="Times New Roman"/>
          <w:sz w:val="24"/>
          <w:szCs w:val="24"/>
        </w:rPr>
        <w:t xml:space="preserve"> alte cheltuieli care nu fac obiectul înființării sistemelor integrate comunale de gestionare a gunoiului de grajd sau modernizării sistemelor comunale integrate pentru comunități cu platformă comunală existentă;</w:t>
      </w:r>
    </w:p>
    <w:p w:rsidR="00F37E21" w:rsidRDefault="00F37E21" w:rsidP="00F37E21">
      <w:pPr>
        <w:pStyle w:val="NoSpacing"/>
        <w:rPr>
          <w:rFonts w:ascii="Times New Roman" w:hAnsi="Times New Roman" w:cs="Times New Roman"/>
          <w:sz w:val="24"/>
          <w:szCs w:val="24"/>
        </w:rPr>
      </w:pPr>
      <w:proofErr w:type="gramStart"/>
      <w:r w:rsidRPr="00AE1012">
        <w:rPr>
          <w:rFonts w:ascii="Times New Roman" w:hAnsi="Times New Roman" w:cs="Times New Roman"/>
          <w:sz w:val="24"/>
          <w:szCs w:val="24"/>
        </w:rPr>
        <w:t>  Achizi</w:t>
      </w:r>
      <w:proofErr w:type="gramEnd"/>
      <w:r w:rsidRPr="00AE1012">
        <w:rPr>
          <w:rFonts w:ascii="Times New Roman" w:hAnsi="Times New Roman" w:cs="Times New Roman"/>
          <w:sz w:val="24"/>
          <w:szCs w:val="24"/>
        </w:rPr>
        <w:t>țiile cu activele corporale „second-hand”;</w:t>
      </w:r>
    </w:p>
    <w:p w:rsidR="00F37E21" w:rsidRPr="00970EC2" w:rsidRDefault="00F37E21" w:rsidP="00F37E21">
      <w:pPr>
        <w:pStyle w:val="NoSpacing"/>
        <w:jc w:val="both"/>
        <w:rPr>
          <w:rFonts w:ascii="Times New Roman" w:hAnsi="Times New Roman" w:cs="Times New Roman"/>
          <w:sz w:val="24"/>
          <w:szCs w:val="24"/>
        </w:rPr>
      </w:pPr>
      <w:r w:rsidRPr="00BB16EF">
        <w:rPr>
          <w:rFonts w:ascii="Times New Roman" w:hAnsi="Times New Roman" w:cs="Times New Roman"/>
          <w:sz w:val="24"/>
          <w:szCs w:val="24"/>
        </w:rPr>
        <w:t xml:space="preserve">Avand in vedere </w:t>
      </w:r>
      <w:r w:rsidRPr="00970EC2">
        <w:rPr>
          <w:rFonts w:ascii="Times New Roman" w:hAnsi="Times New Roman" w:cs="Times New Roman"/>
          <w:sz w:val="24"/>
          <w:szCs w:val="24"/>
        </w:rPr>
        <w:t>GHID SPECIFIC – PRIVIND CONDIȚIILE DE ACCESARE A FONDURILOR EUROPENE AFERENTEPNRRÎN CADRUL APELULUI DE PROIECTE</w:t>
      </w:r>
    </w:p>
    <w:p w:rsidR="00F37E21" w:rsidRPr="00BB16EF" w:rsidRDefault="00F37E21" w:rsidP="00F37E21">
      <w:pPr>
        <w:pStyle w:val="NoSpacing"/>
        <w:jc w:val="both"/>
        <w:rPr>
          <w:rFonts w:ascii="Times New Roman" w:hAnsi="Times New Roman" w:cs="Times New Roman"/>
          <w:sz w:val="24"/>
          <w:szCs w:val="24"/>
        </w:rPr>
      </w:pPr>
      <w:r w:rsidRPr="00970EC2">
        <w:rPr>
          <w:rFonts w:ascii="Times New Roman" w:hAnsi="Times New Roman" w:cs="Times New Roman"/>
          <w:sz w:val="24"/>
          <w:szCs w:val="24"/>
        </w:rPr>
        <w:t>PNRR/2023/C3/S/I.2.A-B</w:t>
      </w:r>
      <w:r w:rsidRPr="00BB16EF">
        <w:rPr>
          <w:rFonts w:ascii="Times New Roman" w:hAnsi="Times New Roman" w:cs="Times New Roman"/>
          <w:sz w:val="24"/>
          <w:szCs w:val="24"/>
        </w:rPr>
        <w:t xml:space="preserve">, se consideră oportun inițierea acestui proiect de </w:t>
      </w:r>
      <w:proofErr w:type="gramStart"/>
      <w:r w:rsidRPr="00BB16EF">
        <w:rPr>
          <w:rFonts w:ascii="Times New Roman" w:hAnsi="Times New Roman" w:cs="Times New Roman"/>
          <w:sz w:val="24"/>
          <w:szCs w:val="24"/>
        </w:rPr>
        <w:t>hotarare .</w:t>
      </w:r>
      <w:proofErr w:type="gramEnd"/>
    </w:p>
    <w:p w:rsidR="00F37E21" w:rsidRDefault="00F37E21" w:rsidP="00F37E21">
      <w:pPr>
        <w:pStyle w:val="NoSpacing"/>
        <w:jc w:val="both"/>
        <w:rPr>
          <w:rFonts w:ascii="Times New Roman" w:hAnsi="Times New Roman" w:cs="Times New Roman"/>
          <w:sz w:val="24"/>
          <w:szCs w:val="24"/>
        </w:rPr>
      </w:pPr>
      <w:r w:rsidRPr="00BB16EF">
        <w:rPr>
          <w:rFonts w:ascii="Times New Roman" w:hAnsi="Times New Roman" w:cs="Times New Roman"/>
          <w:sz w:val="24"/>
          <w:szCs w:val="24"/>
        </w:rPr>
        <w:t xml:space="preserve">Tinând cont de motivele sus prezentate, respectiv de competenţa decizională a Consiliului Local al </w:t>
      </w:r>
      <w:r w:rsidRPr="009B6954">
        <w:rPr>
          <w:rFonts w:ascii="Times New Roman" w:hAnsi="Times New Roman" w:cs="Times New Roman"/>
          <w:sz w:val="24"/>
          <w:szCs w:val="24"/>
        </w:rPr>
        <w:t>comunei Sfințești în această privinţă, propun aprobarea Proiectului de hotărâre in forma initiata.</w:t>
      </w:r>
      <w:r w:rsidRPr="00BB16EF">
        <w:rPr>
          <w:rFonts w:ascii="Times New Roman" w:hAnsi="Times New Roman" w:cs="Times New Roman"/>
          <w:sz w:val="24"/>
          <w:szCs w:val="24"/>
        </w:rPr>
        <w:t xml:space="preserve"> </w:t>
      </w:r>
    </w:p>
    <w:p w:rsidR="00F37E21" w:rsidRPr="009645FE" w:rsidRDefault="00F37E21" w:rsidP="00F37E21">
      <w:r w:rsidRPr="009645FE">
        <w:t xml:space="preserve">       Având in vedere cele relatate mai sus , președintele de ședință intreabă dacă mai este ceva de adăugat , nemaifiind supune la vot proiectul de hotărâre prezentat.</w:t>
      </w:r>
    </w:p>
    <w:p w:rsidR="00F37E21" w:rsidRPr="009645FE" w:rsidRDefault="00F37E21" w:rsidP="00F37E21">
      <w:r w:rsidRPr="009645FE">
        <w:t xml:space="preserve">       Din numarul total de  9 consilieri locali cati alcatuiesc consiliul local , din care </w:t>
      </w:r>
      <w:r>
        <w:t>8</w:t>
      </w:r>
      <w:r w:rsidRPr="009645FE">
        <w:t xml:space="preserve"> prezenți proiectul de hotărâre privind : aprobarea modificării organigramei și statului de funcții al aparatului de specialitate al primarului comunei Sfințești , județul Teleorman s-a aprobat dupa cum urmeaza : </w:t>
      </w:r>
      <w:r>
        <w:t>8</w:t>
      </w:r>
      <w:r w:rsidRPr="009645FE">
        <w:t xml:space="preserve"> </w:t>
      </w:r>
      <w:r w:rsidRPr="009645FE">
        <w:rPr>
          <w:b/>
        </w:rPr>
        <w:t xml:space="preserve"> </w:t>
      </w:r>
      <w:r w:rsidRPr="009645FE">
        <w:t xml:space="preserve">voturi pentru, …..  abţineri şi …voturi împotrivă din totalul de  </w:t>
      </w:r>
      <w:r>
        <w:t>8</w:t>
      </w:r>
      <w:r w:rsidRPr="009645FE">
        <w:t xml:space="preserve"> consilieri prezenţi .</w:t>
      </w:r>
    </w:p>
    <w:p w:rsidR="00F37E21" w:rsidRDefault="00F37E21" w:rsidP="00F37E21">
      <w:pPr>
        <w:ind w:firstLine="720"/>
        <w:rPr>
          <w:color w:val="000000"/>
          <w:lang w:val="es-CO"/>
        </w:rPr>
      </w:pPr>
      <w:r>
        <w:t xml:space="preserve">In continuare , se trece la punctul 5 de pe ordinea de zi , </w:t>
      </w:r>
      <w:r w:rsidRPr="00191291">
        <w:t>modificarea Anexei la HCL nr. 36 din 12.05.2023</w:t>
      </w:r>
      <w:r w:rsidRPr="00191291">
        <w:rPr>
          <w:i/>
          <w:color w:val="000000"/>
          <w:lang w:val="es-CO"/>
        </w:rPr>
        <w:t xml:space="preserve"> </w:t>
      </w:r>
      <w:r w:rsidRPr="00191291">
        <w:rPr>
          <w:color w:val="000000"/>
          <w:lang w:val="es-CO"/>
        </w:rPr>
        <w:t>privind stabilirea salariilor de bază ale funcționarilor publici și personalului contractual din aparatul de specialitate al primarului comunei Sfințești, județul Teleorman</w:t>
      </w:r>
      <w:r>
        <w:rPr>
          <w:color w:val="000000"/>
          <w:lang w:val="es-CO"/>
        </w:rPr>
        <w:t>.</w:t>
      </w:r>
    </w:p>
    <w:p w:rsidR="00F37E21" w:rsidRDefault="00F37E21" w:rsidP="00F37E21">
      <w:pPr>
        <w:ind w:firstLine="720"/>
        <w:rPr>
          <w:color w:val="000000"/>
          <w:lang w:val="es-CO"/>
        </w:rPr>
      </w:pPr>
      <w:r>
        <w:rPr>
          <w:color w:val="000000"/>
          <w:lang w:val="es-CO"/>
        </w:rPr>
        <w:lastRenderedPageBreak/>
        <w:t>Președintele de ședință dă citire referatului de aprobare al primarului comunei Sfințeș</w:t>
      </w:r>
      <w:proofErr w:type="gramStart"/>
      <w:r>
        <w:rPr>
          <w:color w:val="000000"/>
          <w:lang w:val="es-CO"/>
        </w:rPr>
        <w:t>ti :</w:t>
      </w:r>
      <w:proofErr w:type="gramEnd"/>
    </w:p>
    <w:p w:rsidR="00F37E21" w:rsidRDefault="00F37E21" w:rsidP="00F37E21">
      <w:pPr>
        <w:pStyle w:val="NoSpacing"/>
        <w:spacing w:line="276" w:lineRule="auto"/>
        <w:jc w:val="both"/>
        <w:rPr>
          <w:rFonts w:ascii="Times New Roman" w:hAnsi="Times New Roman" w:cs="Times New Roman"/>
          <w:sz w:val="24"/>
          <w:szCs w:val="24"/>
        </w:rPr>
      </w:pPr>
      <w:r>
        <w:rPr>
          <w:color w:val="000000"/>
          <w:lang w:val="es-CO"/>
        </w:rPr>
        <w:t>-</w:t>
      </w:r>
      <w:r w:rsidRPr="004C0C49">
        <w:rPr>
          <w:rFonts w:ascii="Times New Roman" w:hAnsi="Times New Roman" w:cs="Times New Roman"/>
          <w:sz w:val="24"/>
          <w:szCs w:val="24"/>
        </w:rPr>
        <w:t xml:space="preserve">      Prin  HCL nr. 36 din 12.05.2023</w:t>
      </w:r>
      <w:r w:rsidRPr="004C0C49">
        <w:rPr>
          <w:rFonts w:ascii="Times New Roman" w:hAnsi="Times New Roman" w:cs="Times New Roman"/>
          <w:i/>
          <w:color w:val="000000"/>
          <w:sz w:val="24"/>
          <w:szCs w:val="24"/>
          <w:lang w:val="es-CO"/>
        </w:rPr>
        <w:t xml:space="preserve"> </w:t>
      </w:r>
      <w:r w:rsidRPr="004C0C49">
        <w:rPr>
          <w:rFonts w:ascii="Times New Roman" w:hAnsi="Times New Roman" w:cs="Times New Roman"/>
          <w:color w:val="000000"/>
          <w:sz w:val="24"/>
          <w:szCs w:val="24"/>
          <w:lang w:val="es-CO"/>
        </w:rPr>
        <w:t xml:space="preserve">privind stabilirea salariilor de bază ale funcționarilor publici și personalului contractual din aparatul de specialitate al primarului comunei Sfințești, județul Teleorman , </w:t>
      </w:r>
      <w:r>
        <w:rPr>
          <w:rFonts w:ascii="Times New Roman" w:hAnsi="Times New Roman" w:cs="Times New Roman"/>
          <w:color w:val="000000"/>
          <w:sz w:val="24"/>
          <w:szCs w:val="24"/>
          <w:lang w:val="es-CO"/>
        </w:rPr>
        <w:t xml:space="preserve">și in conformitate cu </w:t>
      </w:r>
      <w:r w:rsidRPr="004C0C49">
        <w:rPr>
          <w:rFonts w:ascii="Times New Roman" w:hAnsi="Times New Roman" w:cs="Times New Roman"/>
          <w:color w:val="000000"/>
          <w:sz w:val="24"/>
          <w:szCs w:val="24"/>
          <w:lang w:val="es-CO"/>
        </w:rPr>
        <w:t xml:space="preserve"> prevederile  </w:t>
      </w:r>
      <w:r w:rsidRPr="004C0C49">
        <w:rPr>
          <w:rFonts w:ascii="Times New Roman" w:hAnsi="Times New Roman" w:cs="Times New Roman"/>
          <w:sz w:val="24"/>
          <w:szCs w:val="24"/>
        </w:rPr>
        <w:t>Legii</w:t>
      </w:r>
      <w:r w:rsidRPr="00A810F7">
        <w:rPr>
          <w:rFonts w:ascii="Times New Roman" w:hAnsi="Times New Roman" w:cs="Times New Roman"/>
          <w:sz w:val="24"/>
          <w:szCs w:val="24"/>
        </w:rPr>
        <w:t xml:space="preserve"> nr.153/2017 pr</w:t>
      </w:r>
      <w:r>
        <w:rPr>
          <w:rFonts w:ascii="Times New Roman" w:hAnsi="Times New Roman" w:cs="Times New Roman"/>
          <w:sz w:val="24"/>
          <w:szCs w:val="24"/>
        </w:rPr>
        <w:t>ivind salarizarea personalului plătit din fonduri publice, s-au stabilit salariile personalului din cadrul aparatului de specialitate al primarului comunei Sfințești .</w:t>
      </w:r>
    </w:p>
    <w:p w:rsidR="00F37E21" w:rsidRDefault="00F37E21" w:rsidP="00F37E21">
      <w:pPr>
        <w:pStyle w:val="NoSpacing"/>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     </w:t>
      </w:r>
      <w:proofErr w:type="gramStart"/>
      <w:r>
        <w:rPr>
          <w:rFonts w:ascii="Times New Roman" w:hAnsi="Times New Roman" w:cs="Times New Roman"/>
          <w:sz w:val="24"/>
          <w:szCs w:val="24"/>
        </w:rPr>
        <w:t>In Anexa la HCL nr.</w:t>
      </w:r>
      <w:proofErr w:type="gramEnd"/>
      <w:r>
        <w:rPr>
          <w:rFonts w:ascii="Times New Roman" w:hAnsi="Times New Roman" w:cs="Times New Roman"/>
          <w:sz w:val="24"/>
          <w:szCs w:val="24"/>
        </w:rPr>
        <w:t xml:space="preserve"> 36 / 12.05.2023 la punctul 3 subpunctul 3 s-au trecut din greșeală alte valori față de cele corespunzătoare grilei prevăzute in anexa II Cap.3 subpunctul 3.2. </w:t>
      </w:r>
      <w:proofErr w:type="gramStart"/>
      <w:r>
        <w:rPr>
          <w:rFonts w:ascii="Times New Roman" w:hAnsi="Times New Roman" w:cs="Times New Roman"/>
          <w:sz w:val="24"/>
          <w:szCs w:val="24"/>
        </w:rPr>
        <w:t>din</w:t>
      </w:r>
      <w:proofErr w:type="gramEnd"/>
      <w:r>
        <w:rPr>
          <w:rFonts w:ascii="Times New Roman" w:hAnsi="Times New Roman" w:cs="Times New Roman"/>
          <w:sz w:val="24"/>
          <w:szCs w:val="24"/>
        </w:rPr>
        <w:t xml:space="preserve"> Legea </w:t>
      </w:r>
      <w:r w:rsidRPr="00A810F7">
        <w:rPr>
          <w:rFonts w:ascii="Times New Roman" w:hAnsi="Times New Roman" w:cs="Times New Roman"/>
          <w:sz w:val="24"/>
          <w:szCs w:val="24"/>
        </w:rPr>
        <w:t>nr.153/2017 pr</w:t>
      </w:r>
      <w:r>
        <w:rPr>
          <w:rFonts w:ascii="Times New Roman" w:hAnsi="Times New Roman" w:cs="Times New Roman"/>
          <w:sz w:val="24"/>
          <w:szCs w:val="24"/>
        </w:rPr>
        <w:t>ivind salarizarea personalului plătit din fonduri publice,după care este salarizat asistentul medical comunitar , astfel că ,anexa se modifică șiva avea următorul cuprins :</w:t>
      </w:r>
    </w:p>
    <w:p w:rsidR="00F37E21" w:rsidRPr="0098150E" w:rsidRDefault="00F37E21" w:rsidP="00F37E21">
      <w:pPr>
        <w:rPr>
          <w:b/>
          <w:sz w:val="16"/>
          <w:szCs w:val="16"/>
        </w:rPr>
      </w:pPr>
      <w:r>
        <w:t xml:space="preserve">   </w:t>
      </w:r>
      <w:r w:rsidRPr="0098150E">
        <w:rPr>
          <w:b/>
          <w:sz w:val="16"/>
          <w:szCs w:val="16"/>
        </w:rPr>
        <w:t xml:space="preserve">  3.FUNCTII CONTRACTUALE DE EXECUTIE </w:t>
      </w:r>
    </w:p>
    <w:tbl>
      <w:tblPr>
        <w:tblStyle w:val="TableGrid"/>
        <w:tblW w:w="5085" w:type="pct"/>
        <w:tblLayout w:type="fixed"/>
        <w:tblLook w:val="04A0"/>
      </w:tblPr>
      <w:tblGrid>
        <w:gridCol w:w="466"/>
        <w:gridCol w:w="901"/>
        <w:gridCol w:w="719"/>
        <w:gridCol w:w="989"/>
        <w:gridCol w:w="540"/>
        <w:gridCol w:w="540"/>
        <w:gridCol w:w="540"/>
        <w:gridCol w:w="540"/>
        <w:gridCol w:w="540"/>
        <w:gridCol w:w="540"/>
        <w:gridCol w:w="540"/>
        <w:gridCol w:w="540"/>
        <w:gridCol w:w="543"/>
        <w:gridCol w:w="578"/>
        <w:gridCol w:w="590"/>
        <w:gridCol w:w="633"/>
      </w:tblGrid>
      <w:tr w:rsidR="00F37E21" w:rsidRPr="00C476B3" w:rsidTr="00FD67C5">
        <w:trPr>
          <w:trHeight w:val="251"/>
        </w:trPr>
        <w:tc>
          <w:tcPr>
            <w:tcW w:w="240" w:type="pct"/>
            <w:vMerge w:val="restart"/>
            <w:vAlign w:val="center"/>
          </w:tcPr>
          <w:p w:rsidR="00F37E21" w:rsidRPr="00C476B3" w:rsidRDefault="00F37E21" w:rsidP="00FD67C5">
            <w:pPr>
              <w:jc w:val="center"/>
              <w:rPr>
                <w:b/>
                <w:sz w:val="16"/>
                <w:szCs w:val="16"/>
              </w:rPr>
            </w:pPr>
            <w:r w:rsidRPr="00C476B3">
              <w:rPr>
                <w:b/>
                <w:sz w:val="16"/>
                <w:szCs w:val="16"/>
              </w:rPr>
              <w:t>Nr.</w:t>
            </w:r>
          </w:p>
          <w:p w:rsidR="00F37E21" w:rsidRPr="00C476B3" w:rsidRDefault="00F37E21" w:rsidP="00FD67C5">
            <w:pPr>
              <w:jc w:val="center"/>
              <w:rPr>
                <w:b/>
                <w:sz w:val="16"/>
                <w:szCs w:val="16"/>
              </w:rPr>
            </w:pPr>
            <w:r w:rsidRPr="00C476B3">
              <w:rPr>
                <w:b/>
                <w:sz w:val="16"/>
                <w:szCs w:val="16"/>
              </w:rPr>
              <w:t>Crt</w:t>
            </w:r>
          </w:p>
        </w:tc>
        <w:tc>
          <w:tcPr>
            <w:tcW w:w="463" w:type="pct"/>
            <w:vMerge w:val="restart"/>
            <w:vAlign w:val="center"/>
          </w:tcPr>
          <w:p w:rsidR="00F37E21" w:rsidRPr="00C476B3" w:rsidRDefault="00F37E21" w:rsidP="00FD67C5">
            <w:pPr>
              <w:jc w:val="center"/>
              <w:rPr>
                <w:b/>
                <w:sz w:val="16"/>
                <w:szCs w:val="16"/>
              </w:rPr>
            </w:pPr>
            <w:r w:rsidRPr="00C476B3">
              <w:rPr>
                <w:b/>
                <w:sz w:val="16"/>
                <w:szCs w:val="16"/>
              </w:rPr>
              <w:t>Funcția</w:t>
            </w:r>
          </w:p>
        </w:tc>
        <w:tc>
          <w:tcPr>
            <w:tcW w:w="369" w:type="pct"/>
            <w:vMerge w:val="restart"/>
            <w:vAlign w:val="center"/>
          </w:tcPr>
          <w:p w:rsidR="00F37E21" w:rsidRPr="00C476B3" w:rsidRDefault="00F37E21" w:rsidP="00FD67C5">
            <w:pPr>
              <w:jc w:val="center"/>
              <w:rPr>
                <w:b/>
                <w:sz w:val="16"/>
                <w:szCs w:val="16"/>
              </w:rPr>
            </w:pPr>
            <w:r w:rsidRPr="00C476B3">
              <w:rPr>
                <w:b/>
                <w:sz w:val="16"/>
                <w:szCs w:val="16"/>
              </w:rPr>
              <w:t xml:space="preserve">Nivel studii </w:t>
            </w:r>
          </w:p>
        </w:tc>
        <w:tc>
          <w:tcPr>
            <w:tcW w:w="508" w:type="pct"/>
            <w:vMerge w:val="restart"/>
            <w:vAlign w:val="center"/>
          </w:tcPr>
          <w:p w:rsidR="00F37E21" w:rsidRPr="00C476B3" w:rsidRDefault="00F37E21" w:rsidP="00FD67C5">
            <w:pPr>
              <w:jc w:val="center"/>
              <w:rPr>
                <w:b/>
                <w:sz w:val="16"/>
                <w:szCs w:val="16"/>
              </w:rPr>
            </w:pPr>
            <w:r w:rsidRPr="00C476B3">
              <w:rPr>
                <w:b/>
                <w:sz w:val="16"/>
                <w:szCs w:val="16"/>
              </w:rPr>
              <w:t>Grad profesional</w:t>
            </w:r>
          </w:p>
        </w:tc>
        <w:tc>
          <w:tcPr>
            <w:tcW w:w="3420" w:type="pct"/>
            <w:gridSpan w:val="12"/>
            <w:tcBorders>
              <w:bottom w:val="single" w:sz="4" w:space="0" w:color="auto"/>
            </w:tcBorders>
          </w:tcPr>
          <w:p w:rsidR="00F37E21" w:rsidRPr="00C476B3" w:rsidRDefault="00F37E21" w:rsidP="00FD67C5">
            <w:pPr>
              <w:rPr>
                <w:b/>
                <w:sz w:val="16"/>
                <w:szCs w:val="16"/>
              </w:rPr>
            </w:pPr>
            <w:r w:rsidRPr="00C476B3">
              <w:rPr>
                <w:b/>
                <w:sz w:val="16"/>
                <w:szCs w:val="16"/>
              </w:rPr>
              <w:t xml:space="preserve">                      </w:t>
            </w:r>
            <w:r>
              <w:rPr>
                <w:b/>
                <w:sz w:val="16"/>
                <w:szCs w:val="16"/>
              </w:rPr>
              <w:t xml:space="preserve">          </w:t>
            </w:r>
            <w:r w:rsidRPr="00C476B3">
              <w:rPr>
                <w:b/>
                <w:sz w:val="16"/>
                <w:szCs w:val="16"/>
              </w:rPr>
              <w:t xml:space="preserve">   </w:t>
            </w:r>
            <w:r>
              <w:rPr>
                <w:b/>
                <w:sz w:val="16"/>
                <w:szCs w:val="16"/>
              </w:rPr>
              <w:t xml:space="preserve">         </w:t>
            </w:r>
            <w:r w:rsidRPr="00C476B3">
              <w:rPr>
                <w:b/>
                <w:sz w:val="16"/>
                <w:szCs w:val="16"/>
              </w:rPr>
              <w:t xml:space="preserve">   SALARIUL DE BAZA/GRADATIA </w:t>
            </w:r>
          </w:p>
        </w:tc>
      </w:tr>
      <w:tr w:rsidR="00F37E21" w:rsidRPr="00C476B3" w:rsidTr="00FD67C5">
        <w:trPr>
          <w:trHeight w:val="440"/>
        </w:trPr>
        <w:tc>
          <w:tcPr>
            <w:tcW w:w="240" w:type="pct"/>
            <w:vMerge/>
          </w:tcPr>
          <w:p w:rsidR="00F37E21" w:rsidRPr="00C476B3" w:rsidRDefault="00F37E21" w:rsidP="00FD67C5">
            <w:pPr>
              <w:rPr>
                <w:b/>
                <w:sz w:val="16"/>
                <w:szCs w:val="16"/>
              </w:rPr>
            </w:pPr>
          </w:p>
        </w:tc>
        <w:tc>
          <w:tcPr>
            <w:tcW w:w="463" w:type="pct"/>
            <w:vMerge/>
          </w:tcPr>
          <w:p w:rsidR="00F37E21" w:rsidRPr="00C476B3" w:rsidRDefault="00F37E21" w:rsidP="00FD67C5">
            <w:pPr>
              <w:rPr>
                <w:b/>
                <w:sz w:val="16"/>
                <w:szCs w:val="16"/>
              </w:rPr>
            </w:pPr>
          </w:p>
        </w:tc>
        <w:tc>
          <w:tcPr>
            <w:tcW w:w="369" w:type="pct"/>
            <w:vMerge/>
          </w:tcPr>
          <w:p w:rsidR="00F37E21" w:rsidRPr="00C476B3" w:rsidRDefault="00F37E21" w:rsidP="00FD67C5">
            <w:pPr>
              <w:rPr>
                <w:b/>
                <w:sz w:val="16"/>
                <w:szCs w:val="16"/>
              </w:rPr>
            </w:pPr>
          </w:p>
        </w:tc>
        <w:tc>
          <w:tcPr>
            <w:tcW w:w="508" w:type="pct"/>
            <w:vMerge/>
          </w:tcPr>
          <w:p w:rsidR="00F37E21" w:rsidRPr="00C476B3" w:rsidRDefault="00F37E21" w:rsidP="00FD67C5">
            <w:pPr>
              <w:rPr>
                <w:b/>
                <w:sz w:val="16"/>
                <w:szCs w:val="16"/>
              </w:rPr>
            </w:pPr>
          </w:p>
        </w:tc>
        <w:tc>
          <w:tcPr>
            <w:tcW w:w="277" w:type="pct"/>
            <w:tcBorders>
              <w:top w:val="single" w:sz="4" w:space="0" w:color="auto"/>
              <w:right w:val="single" w:sz="4" w:space="0" w:color="auto"/>
            </w:tcBorders>
            <w:vAlign w:val="center"/>
          </w:tcPr>
          <w:p w:rsidR="00F37E21" w:rsidRPr="00C476B3" w:rsidRDefault="00F37E21" w:rsidP="00FD67C5">
            <w:pPr>
              <w:jc w:val="center"/>
              <w:rPr>
                <w:b/>
                <w:sz w:val="16"/>
                <w:szCs w:val="16"/>
              </w:rPr>
            </w:pPr>
            <w:r w:rsidRPr="00C476B3">
              <w:rPr>
                <w:b/>
                <w:sz w:val="16"/>
                <w:szCs w:val="16"/>
              </w:rPr>
              <w:t>0</w:t>
            </w:r>
          </w:p>
        </w:tc>
        <w:tc>
          <w:tcPr>
            <w:tcW w:w="277" w:type="pct"/>
            <w:tcBorders>
              <w:top w:val="single" w:sz="4" w:space="0" w:color="auto"/>
              <w:left w:val="single" w:sz="4" w:space="0" w:color="auto"/>
              <w:right w:val="single" w:sz="4" w:space="0" w:color="auto"/>
            </w:tcBorders>
            <w:vAlign w:val="center"/>
          </w:tcPr>
          <w:p w:rsidR="00F37E21" w:rsidRPr="00C476B3" w:rsidRDefault="00F37E21" w:rsidP="00FD67C5">
            <w:pPr>
              <w:jc w:val="center"/>
              <w:rPr>
                <w:b/>
                <w:sz w:val="16"/>
                <w:szCs w:val="16"/>
              </w:rPr>
            </w:pPr>
            <w:r w:rsidRPr="00C476B3">
              <w:rPr>
                <w:b/>
                <w:sz w:val="16"/>
                <w:szCs w:val="16"/>
              </w:rPr>
              <w:t>Coef</w:t>
            </w:r>
          </w:p>
        </w:tc>
        <w:tc>
          <w:tcPr>
            <w:tcW w:w="277" w:type="pct"/>
            <w:tcBorders>
              <w:top w:val="single" w:sz="4" w:space="0" w:color="auto"/>
              <w:left w:val="single" w:sz="4" w:space="0" w:color="auto"/>
              <w:right w:val="single" w:sz="4" w:space="0" w:color="auto"/>
            </w:tcBorders>
            <w:vAlign w:val="center"/>
          </w:tcPr>
          <w:p w:rsidR="00F37E21" w:rsidRPr="00C476B3" w:rsidRDefault="00F37E21" w:rsidP="00FD67C5">
            <w:pPr>
              <w:jc w:val="center"/>
              <w:rPr>
                <w:b/>
                <w:sz w:val="16"/>
                <w:szCs w:val="16"/>
              </w:rPr>
            </w:pPr>
            <w:r w:rsidRPr="00C476B3">
              <w:rPr>
                <w:b/>
                <w:sz w:val="16"/>
                <w:szCs w:val="16"/>
              </w:rPr>
              <w:t>1</w:t>
            </w:r>
          </w:p>
        </w:tc>
        <w:tc>
          <w:tcPr>
            <w:tcW w:w="277" w:type="pct"/>
            <w:tcBorders>
              <w:top w:val="single" w:sz="4" w:space="0" w:color="auto"/>
              <w:left w:val="single" w:sz="4" w:space="0" w:color="auto"/>
              <w:right w:val="single" w:sz="4" w:space="0" w:color="auto"/>
            </w:tcBorders>
            <w:vAlign w:val="center"/>
          </w:tcPr>
          <w:p w:rsidR="00F37E21" w:rsidRPr="00C476B3" w:rsidRDefault="00F37E21" w:rsidP="00FD67C5">
            <w:pPr>
              <w:jc w:val="center"/>
              <w:rPr>
                <w:b/>
                <w:sz w:val="16"/>
                <w:szCs w:val="16"/>
              </w:rPr>
            </w:pPr>
            <w:r w:rsidRPr="00C476B3">
              <w:rPr>
                <w:b/>
                <w:sz w:val="16"/>
                <w:szCs w:val="16"/>
              </w:rPr>
              <w:t>Coef</w:t>
            </w:r>
          </w:p>
        </w:tc>
        <w:tc>
          <w:tcPr>
            <w:tcW w:w="277" w:type="pct"/>
            <w:tcBorders>
              <w:top w:val="single" w:sz="4" w:space="0" w:color="auto"/>
              <w:left w:val="single" w:sz="4" w:space="0" w:color="auto"/>
              <w:right w:val="single" w:sz="4" w:space="0" w:color="auto"/>
            </w:tcBorders>
            <w:vAlign w:val="center"/>
          </w:tcPr>
          <w:p w:rsidR="00F37E21" w:rsidRPr="00C476B3" w:rsidRDefault="00F37E21" w:rsidP="00FD67C5">
            <w:pPr>
              <w:jc w:val="center"/>
              <w:rPr>
                <w:b/>
                <w:sz w:val="16"/>
                <w:szCs w:val="16"/>
              </w:rPr>
            </w:pPr>
            <w:r w:rsidRPr="00C476B3">
              <w:rPr>
                <w:b/>
                <w:sz w:val="16"/>
                <w:szCs w:val="16"/>
              </w:rPr>
              <w:t>2</w:t>
            </w:r>
          </w:p>
        </w:tc>
        <w:tc>
          <w:tcPr>
            <w:tcW w:w="277" w:type="pct"/>
            <w:tcBorders>
              <w:top w:val="single" w:sz="4" w:space="0" w:color="auto"/>
              <w:left w:val="single" w:sz="4" w:space="0" w:color="auto"/>
              <w:right w:val="single" w:sz="4" w:space="0" w:color="auto"/>
            </w:tcBorders>
            <w:vAlign w:val="center"/>
          </w:tcPr>
          <w:p w:rsidR="00F37E21" w:rsidRPr="00C476B3" w:rsidRDefault="00F37E21" w:rsidP="00FD67C5">
            <w:pPr>
              <w:jc w:val="center"/>
              <w:rPr>
                <w:b/>
                <w:sz w:val="16"/>
                <w:szCs w:val="16"/>
              </w:rPr>
            </w:pPr>
            <w:r w:rsidRPr="00C476B3">
              <w:rPr>
                <w:b/>
                <w:sz w:val="16"/>
                <w:szCs w:val="16"/>
              </w:rPr>
              <w:t>Coef</w:t>
            </w:r>
          </w:p>
        </w:tc>
        <w:tc>
          <w:tcPr>
            <w:tcW w:w="277" w:type="pct"/>
            <w:tcBorders>
              <w:top w:val="single" w:sz="4" w:space="0" w:color="auto"/>
              <w:left w:val="single" w:sz="4" w:space="0" w:color="auto"/>
              <w:right w:val="single" w:sz="4" w:space="0" w:color="auto"/>
            </w:tcBorders>
            <w:vAlign w:val="center"/>
          </w:tcPr>
          <w:p w:rsidR="00F37E21" w:rsidRPr="00C476B3" w:rsidRDefault="00F37E21" w:rsidP="00FD67C5">
            <w:pPr>
              <w:jc w:val="center"/>
              <w:rPr>
                <w:b/>
                <w:sz w:val="16"/>
                <w:szCs w:val="16"/>
              </w:rPr>
            </w:pPr>
            <w:r w:rsidRPr="00C476B3">
              <w:rPr>
                <w:b/>
                <w:sz w:val="16"/>
                <w:szCs w:val="16"/>
              </w:rPr>
              <w:t>3</w:t>
            </w:r>
          </w:p>
        </w:tc>
        <w:tc>
          <w:tcPr>
            <w:tcW w:w="277" w:type="pct"/>
            <w:tcBorders>
              <w:top w:val="single" w:sz="4" w:space="0" w:color="auto"/>
              <w:left w:val="single" w:sz="4" w:space="0" w:color="auto"/>
              <w:right w:val="single" w:sz="4" w:space="0" w:color="auto"/>
            </w:tcBorders>
            <w:vAlign w:val="center"/>
          </w:tcPr>
          <w:p w:rsidR="00F37E21" w:rsidRPr="00C476B3" w:rsidRDefault="00F37E21" w:rsidP="00FD67C5">
            <w:pPr>
              <w:jc w:val="center"/>
              <w:rPr>
                <w:b/>
                <w:sz w:val="16"/>
                <w:szCs w:val="16"/>
              </w:rPr>
            </w:pPr>
            <w:r w:rsidRPr="00C476B3">
              <w:rPr>
                <w:b/>
                <w:sz w:val="16"/>
                <w:szCs w:val="16"/>
              </w:rPr>
              <w:t>Coef</w:t>
            </w:r>
          </w:p>
        </w:tc>
        <w:tc>
          <w:tcPr>
            <w:tcW w:w="279" w:type="pct"/>
            <w:tcBorders>
              <w:top w:val="single" w:sz="4" w:space="0" w:color="auto"/>
              <w:left w:val="single" w:sz="4" w:space="0" w:color="auto"/>
              <w:right w:val="single" w:sz="4" w:space="0" w:color="auto"/>
            </w:tcBorders>
            <w:vAlign w:val="center"/>
          </w:tcPr>
          <w:p w:rsidR="00F37E21" w:rsidRPr="00C476B3" w:rsidRDefault="00F37E21" w:rsidP="00FD67C5">
            <w:pPr>
              <w:jc w:val="center"/>
              <w:rPr>
                <w:b/>
                <w:sz w:val="16"/>
                <w:szCs w:val="16"/>
              </w:rPr>
            </w:pPr>
            <w:r w:rsidRPr="00C476B3">
              <w:rPr>
                <w:b/>
                <w:sz w:val="16"/>
                <w:szCs w:val="16"/>
              </w:rPr>
              <w:t>4</w:t>
            </w:r>
          </w:p>
        </w:tc>
        <w:tc>
          <w:tcPr>
            <w:tcW w:w="297" w:type="pct"/>
            <w:tcBorders>
              <w:top w:val="single" w:sz="4" w:space="0" w:color="auto"/>
              <w:left w:val="single" w:sz="4" w:space="0" w:color="auto"/>
              <w:right w:val="single" w:sz="4" w:space="0" w:color="auto"/>
            </w:tcBorders>
            <w:vAlign w:val="center"/>
          </w:tcPr>
          <w:p w:rsidR="00F37E21" w:rsidRPr="00C476B3" w:rsidRDefault="00F37E21" w:rsidP="00FD67C5">
            <w:pPr>
              <w:jc w:val="center"/>
              <w:rPr>
                <w:b/>
                <w:sz w:val="16"/>
                <w:szCs w:val="16"/>
              </w:rPr>
            </w:pPr>
            <w:r w:rsidRPr="00C476B3">
              <w:rPr>
                <w:b/>
                <w:sz w:val="16"/>
                <w:szCs w:val="16"/>
              </w:rPr>
              <w:t>Coef</w:t>
            </w:r>
          </w:p>
        </w:tc>
        <w:tc>
          <w:tcPr>
            <w:tcW w:w="303" w:type="pct"/>
            <w:tcBorders>
              <w:top w:val="single" w:sz="4" w:space="0" w:color="auto"/>
              <w:left w:val="single" w:sz="4" w:space="0" w:color="auto"/>
              <w:right w:val="single" w:sz="4" w:space="0" w:color="auto"/>
            </w:tcBorders>
            <w:vAlign w:val="center"/>
          </w:tcPr>
          <w:p w:rsidR="00F37E21" w:rsidRPr="00C476B3" w:rsidRDefault="00F37E21" w:rsidP="00FD67C5">
            <w:pPr>
              <w:jc w:val="center"/>
              <w:rPr>
                <w:b/>
                <w:sz w:val="16"/>
                <w:szCs w:val="16"/>
              </w:rPr>
            </w:pPr>
            <w:r w:rsidRPr="00C476B3">
              <w:rPr>
                <w:b/>
                <w:sz w:val="16"/>
                <w:szCs w:val="16"/>
              </w:rPr>
              <w:t>5</w:t>
            </w:r>
          </w:p>
        </w:tc>
        <w:tc>
          <w:tcPr>
            <w:tcW w:w="323" w:type="pct"/>
            <w:tcBorders>
              <w:top w:val="single" w:sz="4" w:space="0" w:color="auto"/>
              <w:left w:val="single" w:sz="4" w:space="0" w:color="auto"/>
            </w:tcBorders>
            <w:vAlign w:val="center"/>
          </w:tcPr>
          <w:p w:rsidR="00F37E21" w:rsidRPr="00C476B3" w:rsidRDefault="00F37E21" w:rsidP="00FD67C5">
            <w:pPr>
              <w:jc w:val="center"/>
              <w:rPr>
                <w:b/>
                <w:sz w:val="16"/>
                <w:szCs w:val="16"/>
              </w:rPr>
            </w:pPr>
            <w:r w:rsidRPr="00C476B3">
              <w:rPr>
                <w:b/>
                <w:sz w:val="16"/>
                <w:szCs w:val="16"/>
              </w:rPr>
              <w:t>Coef.</w:t>
            </w:r>
          </w:p>
        </w:tc>
      </w:tr>
      <w:tr w:rsidR="00F37E21" w:rsidRPr="00D86B7E" w:rsidTr="00FD67C5">
        <w:trPr>
          <w:trHeight w:val="389"/>
        </w:trPr>
        <w:tc>
          <w:tcPr>
            <w:tcW w:w="240" w:type="pct"/>
            <w:vMerge w:val="restart"/>
            <w:vAlign w:val="center"/>
          </w:tcPr>
          <w:p w:rsidR="00F37E21" w:rsidRDefault="00F37E21" w:rsidP="00FD67C5">
            <w:r>
              <w:t xml:space="preserve"> 3</w:t>
            </w:r>
          </w:p>
        </w:tc>
        <w:tc>
          <w:tcPr>
            <w:tcW w:w="463" w:type="pct"/>
            <w:vMerge w:val="restart"/>
            <w:vAlign w:val="center"/>
          </w:tcPr>
          <w:p w:rsidR="00F37E21" w:rsidRPr="0098150E" w:rsidRDefault="00F37E21" w:rsidP="00FD67C5">
            <w:pPr>
              <w:rPr>
                <w:sz w:val="16"/>
                <w:szCs w:val="16"/>
              </w:rPr>
            </w:pPr>
            <w:r w:rsidRPr="0098150E">
              <w:rPr>
                <w:sz w:val="16"/>
                <w:szCs w:val="16"/>
              </w:rPr>
              <w:t>Asistent medical comunitar</w:t>
            </w:r>
          </w:p>
        </w:tc>
        <w:tc>
          <w:tcPr>
            <w:tcW w:w="369" w:type="pct"/>
            <w:vAlign w:val="center"/>
          </w:tcPr>
          <w:p w:rsidR="00F37E21" w:rsidRPr="0098150E" w:rsidRDefault="00F37E21" w:rsidP="00FD67C5">
            <w:pPr>
              <w:rPr>
                <w:sz w:val="16"/>
                <w:szCs w:val="16"/>
              </w:rPr>
            </w:pPr>
            <w:r w:rsidRPr="0098150E">
              <w:rPr>
                <w:sz w:val="16"/>
                <w:szCs w:val="16"/>
              </w:rPr>
              <w:t>PL</w:t>
            </w:r>
          </w:p>
        </w:tc>
        <w:tc>
          <w:tcPr>
            <w:tcW w:w="508" w:type="pct"/>
            <w:vAlign w:val="center"/>
          </w:tcPr>
          <w:p w:rsidR="00F37E21" w:rsidRPr="0098150E" w:rsidRDefault="00F37E21" w:rsidP="00FD67C5">
            <w:pPr>
              <w:rPr>
                <w:sz w:val="16"/>
                <w:szCs w:val="16"/>
              </w:rPr>
            </w:pPr>
            <w:r w:rsidRPr="0098150E">
              <w:rPr>
                <w:sz w:val="16"/>
                <w:szCs w:val="16"/>
              </w:rPr>
              <w:t>Principal</w:t>
            </w:r>
          </w:p>
        </w:tc>
        <w:tc>
          <w:tcPr>
            <w:tcW w:w="277" w:type="pct"/>
            <w:tcBorders>
              <w:right w:val="single" w:sz="4" w:space="0" w:color="auto"/>
            </w:tcBorders>
            <w:shd w:val="clear" w:color="auto" w:fill="auto"/>
            <w:vAlign w:val="center"/>
          </w:tcPr>
          <w:p w:rsidR="00F37E21" w:rsidRPr="0098150E" w:rsidRDefault="00F37E21" w:rsidP="00FD67C5">
            <w:pPr>
              <w:jc w:val="center"/>
              <w:rPr>
                <w:sz w:val="16"/>
                <w:szCs w:val="16"/>
              </w:rPr>
            </w:pPr>
            <w:r w:rsidRPr="0098150E">
              <w:rPr>
                <w:sz w:val="16"/>
                <w:szCs w:val="16"/>
              </w:rPr>
              <w:t>3900</w:t>
            </w:r>
          </w:p>
        </w:tc>
        <w:tc>
          <w:tcPr>
            <w:tcW w:w="277" w:type="pct"/>
            <w:tcBorders>
              <w:left w:val="single" w:sz="4" w:space="0" w:color="auto"/>
              <w:right w:val="single" w:sz="4" w:space="0" w:color="auto"/>
            </w:tcBorders>
            <w:shd w:val="clear" w:color="auto" w:fill="auto"/>
            <w:vAlign w:val="center"/>
          </w:tcPr>
          <w:p w:rsidR="00F37E21" w:rsidRPr="0098150E" w:rsidRDefault="00F37E21" w:rsidP="00FD67C5">
            <w:pPr>
              <w:jc w:val="center"/>
              <w:rPr>
                <w:sz w:val="16"/>
                <w:szCs w:val="16"/>
              </w:rPr>
            </w:pPr>
          </w:p>
        </w:tc>
        <w:tc>
          <w:tcPr>
            <w:tcW w:w="277" w:type="pct"/>
            <w:tcBorders>
              <w:left w:val="single" w:sz="4" w:space="0" w:color="auto"/>
              <w:right w:val="single" w:sz="4" w:space="0" w:color="auto"/>
            </w:tcBorders>
            <w:shd w:val="clear" w:color="auto" w:fill="auto"/>
            <w:vAlign w:val="center"/>
          </w:tcPr>
          <w:p w:rsidR="00F37E21" w:rsidRPr="0098150E" w:rsidRDefault="00F37E21" w:rsidP="00FD67C5">
            <w:pPr>
              <w:jc w:val="center"/>
              <w:rPr>
                <w:sz w:val="16"/>
                <w:szCs w:val="16"/>
              </w:rPr>
            </w:pPr>
            <w:r w:rsidRPr="0098150E">
              <w:rPr>
                <w:sz w:val="16"/>
                <w:szCs w:val="16"/>
              </w:rPr>
              <w:t>4193</w:t>
            </w:r>
          </w:p>
        </w:tc>
        <w:tc>
          <w:tcPr>
            <w:tcW w:w="277" w:type="pct"/>
            <w:tcBorders>
              <w:left w:val="single" w:sz="4" w:space="0" w:color="auto"/>
              <w:right w:val="single" w:sz="4" w:space="0" w:color="auto"/>
            </w:tcBorders>
            <w:shd w:val="clear" w:color="auto" w:fill="auto"/>
            <w:vAlign w:val="center"/>
          </w:tcPr>
          <w:p w:rsidR="00F37E21" w:rsidRPr="0098150E" w:rsidRDefault="00F37E21" w:rsidP="00FD67C5">
            <w:pPr>
              <w:jc w:val="center"/>
              <w:rPr>
                <w:sz w:val="16"/>
                <w:szCs w:val="16"/>
              </w:rPr>
            </w:pPr>
          </w:p>
        </w:tc>
        <w:tc>
          <w:tcPr>
            <w:tcW w:w="277" w:type="pct"/>
            <w:tcBorders>
              <w:left w:val="single" w:sz="4" w:space="0" w:color="auto"/>
              <w:right w:val="single" w:sz="4" w:space="0" w:color="auto"/>
            </w:tcBorders>
            <w:shd w:val="clear" w:color="auto" w:fill="auto"/>
            <w:vAlign w:val="center"/>
          </w:tcPr>
          <w:p w:rsidR="00F37E21" w:rsidRPr="0098150E" w:rsidRDefault="00F37E21" w:rsidP="00FD67C5">
            <w:pPr>
              <w:jc w:val="center"/>
              <w:rPr>
                <w:sz w:val="16"/>
                <w:szCs w:val="16"/>
              </w:rPr>
            </w:pPr>
            <w:r w:rsidRPr="0098150E">
              <w:rPr>
                <w:sz w:val="16"/>
                <w:szCs w:val="16"/>
              </w:rPr>
              <w:t>4233</w:t>
            </w:r>
          </w:p>
        </w:tc>
        <w:tc>
          <w:tcPr>
            <w:tcW w:w="277" w:type="pct"/>
            <w:tcBorders>
              <w:left w:val="single" w:sz="4" w:space="0" w:color="auto"/>
              <w:right w:val="single" w:sz="4" w:space="0" w:color="auto"/>
            </w:tcBorders>
            <w:shd w:val="clear" w:color="auto" w:fill="auto"/>
            <w:vAlign w:val="center"/>
          </w:tcPr>
          <w:p w:rsidR="00F37E21" w:rsidRPr="0098150E" w:rsidRDefault="00F37E21" w:rsidP="00FD67C5">
            <w:pPr>
              <w:jc w:val="center"/>
              <w:rPr>
                <w:sz w:val="16"/>
                <w:szCs w:val="16"/>
              </w:rPr>
            </w:pPr>
          </w:p>
        </w:tc>
        <w:tc>
          <w:tcPr>
            <w:tcW w:w="277" w:type="pct"/>
            <w:tcBorders>
              <w:left w:val="single" w:sz="4" w:space="0" w:color="auto"/>
              <w:right w:val="single" w:sz="4" w:space="0" w:color="auto"/>
            </w:tcBorders>
            <w:shd w:val="clear" w:color="auto" w:fill="auto"/>
            <w:vAlign w:val="center"/>
          </w:tcPr>
          <w:p w:rsidR="00F37E21" w:rsidRPr="0098150E" w:rsidRDefault="00F37E21" w:rsidP="00FD67C5">
            <w:pPr>
              <w:jc w:val="center"/>
              <w:rPr>
                <w:sz w:val="16"/>
                <w:szCs w:val="16"/>
              </w:rPr>
            </w:pPr>
            <w:r w:rsidRPr="0098150E">
              <w:rPr>
                <w:sz w:val="16"/>
                <w:szCs w:val="16"/>
              </w:rPr>
              <w:t>4445</w:t>
            </w:r>
          </w:p>
        </w:tc>
        <w:tc>
          <w:tcPr>
            <w:tcW w:w="277" w:type="pct"/>
            <w:tcBorders>
              <w:left w:val="single" w:sz="4" w:space="0" w:color="auto"/>
              <w:right w:val="single" w:sz="4" w:space="0" w:color="auto"/>
            </w:tcBorders>
            <w:shd w:val="clear" w:color="auto" w:fill="auto"/>
            <w:vAlign w:val="center"/>
          </w:tcPr>
          <w:p w:rsidR="00F37E21" w:rsidRPr="0098150E" w:rsidRDefault="00F37E21" w:rsidP="00FD67C5">
            <w:pPr>
              <w:jc w:val="center"/>
              <w:rPr>
                <w:sz w:val="16"/>
                <w:szCs w:val="16"/>
              </w:rPr>
            </w:pPr>
          </w:p>
        </w:tc>
        <w:tc>
          <w:tcPr>
            <w:tcW w:w="279" w:type="pct"/>
            <w:tcBorders>
              <w:left w:val="single" w:sz="4" w:space="0" w:color="auto"/>
              <w:right w:val="single" w:sz="4" w:space="0" w:color="auto"/>
            </w:tcBorders>
            <w:shd w:val="clear" w:color="auto" w:fill="auto"/>
            <w:vAlign w:val="center"/>
          </w:tcPr>
          <w:p w:rsidR="00F37E21" w:rsidRPr="0098150E" w:rsidRDefault="00F37E21" w:rsidP="00FD67C5">
            <w:pPr>
              <w:jc w:val="center"/>
              <w:rPr>
                <w:sz w:val="16"/>
                <w:szCs w:val="16"/>
              </w:rPr>
            </w:pPr>
            <w:r w:rsidRPr="0098150E">
              <w:rPr>
                <w:sz w:val="16"/>
                <w:szCs w:val="16"/>
              </w:rPr>
              <w:t>4557</w:t>
            </w:r>
          </w:p>
        </w:tc>
        <w:tc>
          <w:tcPr>
            <w:tcW w:w="297" w:type="pct"/>
            <w:tcBorders>
              <w:left w:val="single" w:sz="4" w:space="0" w:color="auto"/>
              <w:right w:val="single" w:sz="4" w:space="0" w:color="auto"/>
            </w:tcBorders>
            <w:shd w:val="clear" w:color="auto" w:fill="auto"/>
            <w:vAlign w:val="center"/>
          </w:tcPr>
          <w:p w:rsidR="00F37E21" w:rsidRPr="0098150E" w:rsidRDefault="00F37E21" w:rsidP="00FD67C5">
            <w:pPr>
              <w:jc w:val="center"/>
              <w:rPr>
                <w:sz w:val="16"/>
                <w:szCs w:val="16"/>
              </w:rPr>
            </w:pPr>
          </w:p>
        </w:tc>
        <w:tc>
          <w:tcPr>
            <w:tcW w:w="303" w:type="pct"/>
            <w:tcBorders>
              <w:left w:val="single" w:sz="4" w:space="0" w:color="auto"/>
              <w:right w:val="single" w:sz="4" w:space="0" w:color="auto"/>
            </w:tcBorders>
            <w:shd w:val="clear" w:color="auto" w:fill="auto"/>
            <w:vAlign w:val="center"/>
          </w:tcPr>
          <w:p w:rsidR="00F37E21" w:rsidRPr="0098150E" w:rsidRDefault="00F37E21" w:rsidP="00FD67C5">
            <w:pPr>
              <w:jc w:val="center"/>
              <w:rPr>
                <w:sz w:val="16"/>
                <w:szCs w:val="16"/>
              </w:rPr>
            </w:pPr>
            <w:r w:rsidRPr="0098150E">
              <w:rPr>
                <w:sz w:val="16"/>
                <w:szCs w:val="16"/>
              </w:rPr>
              <w:t>4671</w:t>
            </w:r>
          </w:p>
        </w:tc>
        <w:tc>
          <w:tcPr>
            <w:tcW w:w="323" w:type="pct"/>
            <w:tcBorders>
              <w:left w:val="single" w:sz="4" w:space="0" w:color="auto"/>
            </w:tcBorders>
            <w:vAlign w:val="center"/>
          </w:tcPr>
          <w:p w:rsidR="00F37E21" w:rsidRPr="00754812" w:rsidRDefault="00F37E21" w:rsidP="00FD67C5">
            <w:pPr>
              <w:jc w:val="center"/>
            </w:pPr>
          </w:p>
        </w:tc>
      </w:tr>
      <w:tr w:rsidR="00F37E21" w:rsidRPr="00D86B7E" w:rsidTr="00FD67C5">
        <w:trPr>
          <w:trHeight w:val="389"/>
        </w:trPr>
        <w:tc>
          <w:tcPr>
            <w:tcW w:w="240" w:type="pct"/>
            <w:vMerge/>
            <w:vAlign w:val="center"/>
          </w:tcPr>
          <w:p w:rsidR="00F37E21" w:rsidRDefault="00F37E21" w:rsidP="00FD67C5">
            <w:pPr>
              <w:jc w:val="center"/>
            </w:pPr>
          </w:p>
        </w:tc>
        <w:tc>
          <w:tcPr>
            <w:tcW w:w="463" w:type="pct"/>
            <w:vMerge/>
            <w:vAlign w:val="center"/>
          </w:tcPr>
          <w:p w:rsidR="00F37E21" w:rsidRDefault="00F37E21" w:rsidP="00FD67C5"/>
        </w:tc>
        <w:tc>
          <w:tcPr>
            <w:tcW w:w="369" w:type="pct"/>
            <w:vAlign w:val="center"/>
          </w:tcPr>
          <w:p w:rsidR="00F37E21" w:rsidRPr="0098150E" w:rsidRDefault="00F37E21" w:rsidP="00FD67C5">
            <w:pPr>
              <w:rPr>
                <w:sz w:val="16"/>
                <w:szCs w:val="16"/>
              </w:rPr>
            </w:pPr>
            <w:r w:rsidRPr="0098150E">
              <w:rPr>
                <w:sz w:val="16"/>
                <w:szCs w:val="16"/>
              </w:rPr>
              <w:t>PL</w:t>
            </w:r>
          </w:p>
        </w:tc>
        <w:tc>
          <w:tcPr>
            <w:tcW w:w="508" w:type="pct"/>
            <w:vAlign w:val="center"/>
          </w:tcPr>
          <w:p w:rsidR="00F37E21" w:rsidRPr="0098150E" w:rsidRDefault="00F37E21" w:rsidP="00FD67C5">
            <w:pPr>
              <w:rPr>
                <w:sz w:val="16"/>
                <w:szCs w:val="16"/>
              </w:rPr>
            </w:pPr>
            <w:r w:rsidRPr="0098150E">
              <w:rPr>
                <w:sz w:val="16"/>
                <w:szCs w:val="16"/>
              </w:rPr>
              <w:t>Debutant</w:t>
            </w:r>
          </w:p>
        </w:tc>
        <w:tc>
          <w:tcPr>
            <w:tcW w:w="277" w:type="pct"/>
            <w:tcBorders>
              <w:right w:val="single" w:sz="4" w:space="0" w:color="auto"/>
            </w:tcBorders>
            <w:vAlign w:val="center"/>
          </w:tcPr>
          <w:p w:rsidR="00F37E21" w:rsidRPr="0098150E" w:rsidRDefault="00F37E21" w:rsidP="00FD67C5">
            <w:pPr>
              <w:jc w:val="center"/>
              <w:rPr>
                <w:sz w:val="16"/>
                <w:szCs w:val="16"/>
              </w:rPr>
            </w:pPr>
            <w:r w:rsidRPr="0098150E">
              <w:rPr>
                <w:sz w:val="16"/>
                <w:szCs w:val="16"/>
              </w:rPr>
              <w:t>3490</w:t>
            </w:r>
          </w:p>
        </w:tc>
        <w:tc>
          <w:tcPr>
            <w:tcW w:w="277" w:type="pct"/>
            <w:tcBorders>
              <w:left w:val="single" w:sz="4" w:space="0" w:color="auto"/>
              <w:right w:val="single" w:sz="4" w:space="0" w:color="auto"/>
            </w:tcBorders>
            <w:vAlign w:val="center"/>
          </w:tcPr>
          <w:p w:rsidR="00F37E21" w:rsidRPr="0098150E" w:rsidRDefault="00F37E21" w:rsidP="00FD67C5">
            <w:pPr>
              <w:jc w:val="center"/>
              <w:rPr>
                <w:sz w:val="16"/>
                <w:szCs w:val="16"/>
              </w:rPr>
            </w:pPr>
          </w:p>
        </w:tc>
        <w:tc>
          <w:tcPr>
            <w:tcW w:w="277" w:type="pct"/>
            <w:tcBorders>
              <w:left w:val="single" w:sz="4" w:space="0" w:color="auto"/>
              <w:right w:val="single" w:sz="4" w:space="0" w:color="auto"/>
            </w:tcBorders>
            <w:vAlign w:val="center"/>
          </w:tcPr>
          <w:p w:rsidR="00F37E21" w:rsidRPr="0098150E" w:rsidRDefault="00F37E21" w:rsidP="00FD67C5">
            <w:pPr>
              <w:jc w:val="center"/>
              <w:rPr>
                <w:sz w:val="16"/>
                <w:szCs w:val="16"/>
              </w:rPr>
            </w:pPr>
            <w:r w:rsidRPr="0098150E">
              <w:rPr>
                <w:sz w:val="16"/>
                <w:szCs w:val="16"/>
              </w:rPr>
              <w:t>3752</w:t>
            </w:r>
          </w:p>
        </w:tc>
        <w:tc>
          <w:tcPr>
            <w:tcW w:w="277" w:type="pct"/>
            <w:tcBorders>
              <w:left w:val="single" w:sz="4" w:space="0" w:color="auto"/>
              <w:right w:val="single" w:sz="4" w:space="0" w:color="auto"/>
            </w:tcBorders>
            <w:vAlign w:val="center"/>
          </w:tcPr>
          <w:p w:rsidR="00F37E21" w:rsidRPr="0098150E" w:rsidRDefault="00F37E21" w:rsidP="00FD67C5">
            <w:pPr>
              <w:jc w:val="center"/>
              <w:rPr>
                <w:sz w:val="16"/>
                <w:szCs w:val="16"/>
              </w:rPr>
            </w:pPr>
          </w:p>
        </w:tc>
        <w:tc>
          <w:tcPr>
            <w:tcW w:w="277" w:type="pct"/>
            <w:tcBorders>
              <w:left w:val="single" w:sz="4" w:space="0" w:color="auto"/>
              <w:right w:val="single" w:sz="4" w:space="0" w:color="auto"/>
            </w:tcBorders>
            <w:vAlign w:val="center"/>
          </w:tcPr>
          <w:p w:rsidR="00F37E21" w:rsidRPr="0098150E" w:rsidRDefault="00F37E21" w:rsidP="00FD67C5">
            <w:pPr>
              <w:jc w:val="center"/>
              <w:rPr>
                <w:sz w:val="16"/>
                <w:szCs w:val="16"/>
              </w:rPr>
            </w:pPr>
            <w:r w:rsidRPr="0098150E">
              <w:rPr>
                <w:sz w:val="16"/>
                <w:szCs w:val="16"/>
              </w:rPr>
              <w:t>4233</w:t>
            </w:r>
          </w:p>
        </w:tc>
        <w:tc>
          <w:tcPr>
            <w:tcW w:w="277" w:type="pct"/>
            <w:tcBorders>
              <w:left w:val="single" w:sz="4" w:space="0" w:color="auto"/>
              <w:right w:val="single" w:sz="4" w:space="0" w:color="auto"/>
            </w:tcBorders>
            <w:vAlign w:val="center"/>
          </w:tcPr>
          <w:p w:rsidR="00F37E21" w:rsidRPr="0098150E" w:rsidRDefault="00F37E21" w:rsidP="00FD67C5">
            <w:pPr>
              <w:jc w:val="center"/>
              <w:rPr>
                <w:sz w:val="16"/>
                <w:szCs w:val="16"/>
              </w:rPr>
            </w:pPr>
          </w:p>
        </w:tc>
        <w:tc>
          <w:tcPr>
            <w:tcW w:w="277" w:type="pct"/>
            <w:tcBorders>
              <w:left w:val="single" w:sz="4" w:space="0" w:color="auto"/>
              <w:right w:val="single" w:sz="4" w:space="0" w:color="auto"/>
            </w:tcBorders>
            <w:vAlign w:val="center"/>
          </w:tcPr>
          <w:p w:rsidR="00F37E21" w:rsidRPr="0098150E" w:rsidRDefault="00F37E21" w:rsidP="00FD67C5">
            <w:pPr>
              <w:jc w:val="center"/>
              <w:rPr>
                <w:sz w:val="16"/>
                <w:szCs w:val="16"/>
              </w:rPr>
            </w:pPr>
            <w:r w:rsidRPr="0098150E">
              <w:rPr>
                <w:sz w:val="16"/>
                <w:szCs w:val="16"/>
              </w:rPr>
              <w:t>4445</w:t>
            </w:r>
          </w:p>
        </w:tc>
        <w:tc>
          <w:tcPr>
            <w:tcW w:w="277" w:type="pct"/>
            <w:tcBorders>
              <w:left w:val="single" w:sz="4" w:space="0" w:color="auto"/>
              <w:right w:val="single" w:sz="4" w:space="0" w:color="auto"/>
            </w:tcBorders>
            <w:vAlign w:val="center"/>
          </w:tcPr>
          <w:p w:rsidR="00F37E21" w:rsidRPr="0098150E" w:rsidRDefault="00F37E21" w:rsidP="00FD67C5">
            <w:pPr>
              <w:jc w:val="center"/>
              <w:rPr>
                <w:sz w:val="16"/>
                <w:szCs w:val="16"/>
              </w:rPr>
            </w:pPr>
          </w:p>
        </w:tc>
        <w:tc>
          <w:tcPr>
            <w:tcW w:w="279" w:type="pct"/>
            <w:tcBorders>
              <w:left w:val="single" w:sz="4" w:space="0" w:color="auto"/>
              <w:right w:val="single" w:sz="4" w:space="0" w:color="auto"/>
            </w:tcBorders>
            <w:vAlign w:val="center"/>
          </w:tcPr>
          <w:p w:rsidR="00F37E21" w:rsidRPr="0098150E" w:rsidRDefault="00F37E21" w:rsidP="00FD67C5">
            <w:pPr>
              <w:jc w:val="center"/>
              <w:rPr>
                <w:sz w:val="16"/>
                <w:szCs w:val="16"/>
              </w:rPr>
            </w:pPr>
            <w:r w:rsidRPr="0098150E">
              <w:rPr>
                <w:sz w:val="16"/>
                <w:szCs w:val="16"/>
              </w:rPr>
              <w:t>4557</w:t>
            </w:r>
          </w:p>
        </w:tc>
        <w:tc>
          <w:tcPr>
            <w:tcW w:w="297" w:type="pct"/>
            <w:tcBorders>
              <w:left w:val="single" w:sz="4" w:space="0" w:color="auto"/>
              <w:right w:val="single" w:sz="4" w:space="0" w:color="auto"/>
            </w:tcBorders>
            <w:vAlign w:val="center"/>
          </w:tcPr>
          <w:p w:rsidR="00F37E21" w:rsidRPr="0098150E" w:rsidRDefault="00F37E21" w:rsidP="00FD67C5">
            <w:pPr>
              <w:jc w:val="center"/>
              <w:rPr>
                <w:sz w:val="16"/>
                <w:szCs w:val="16"/>
              </w:rPr>
            </w:pPr>
          </w:p>
        </w:tc>
        <w:tc>
          <w:tcPr>
            <w:tcW w:w="303" w:type="pct"/>
            <w:tcBorders>
              <w:left w:val="single" w:sz="4" w:space="0" w:color="auto"/>
              <w:right w:val="single" w:sz="4" w:space="0" w:color="auto"/>
            </w:tcBorders>
            <w:vAlign w:val="center"/>
          </w:tcPr>
          <w:p w:rsidR="00F37E21" w:rsidRPr="0098150E" w:rsidRDefault="00F37E21" w:rsidP="00FD67C5">
            <w:pPr>
              <w:jc w:val="center"/>
              <w:rPr>
                <w:sz w:val="16"/>
                <w:szCs w:val="16"/>
              </w:rPr>
            </w:pPr>
            <w:r w:rsidRPr="0098150E">
              <w:rPr>
                <w:sz w:val="16"/>
                <w:szCs w:val="16"/>
              </w:rPr>
              <w:t>4671</w:t>
            </w:r>
          </w:p>
        </w:tc>
        <w:tc>
          <w:tcPr>
            <w:tcW w:w="323" w:type="pct"/>
            <w:tcBorders>
              <w:left w:val="single" w:sz="4" w:space="0" w:color="auto"/>
            </w:tcBorders>
            <w:vAlign w:val="center"/>
          </w:tcPr>
          <w:p w:rsidR="00F37E21" w:rsidRPr="00754812" w:rsidRDefault="00F37E21" w:rsidP="00FD67C5">
            <w:pPr>
              <w:jc w:val="center"/>
            </w:pPr>
          </w:p>
        </w:tc>
      </w:tr>
    </w:tbl>
    <w:p w:rsidR="00F37E21" w:rsidRPr="009645FE" w:rsidRDefault="00F37E21" w:rsidP="00F37E21">
      <w:pPr>
        <w:pStyle w:val="NoSpacing"/>
        <w:spacing w:line="276" w:lineRule="auto"/>
        <w:jc w:val="both"/>
      </w:pPr>
      <w:r>
        <w:rPr>
          <w:rFonts w:ascii="Times New Roman" w:hAnsi="Times New Roman" w:cs="Times New Roman"/>
          <w:color w:val="000000"/>
          <w:sz w:val="24"/>
          <w:szCs w:val="24"/>
          <w:lang w:val="es-CO"/>
        </w:rPr>
        <w:t xml:space="preserve">    </w:t>
      </w:r>
      <w:r w:rsidRPr="009645FE">
        <w:t xml:space="preserve">    Având in vedere cele relatate mai </w:t>
      </w:r>
      <w:proofErr w:type="gramStart"/>
      <w:r w:rsidRPr="009645FE">
        <w:t>sus ,</w:t>
      </w:r>
      <w:proofErr w:type="gramEnd"/>
      <w:r w:rsidRPr="009645FE">
        <w:t xml:space="preserve"> președintele de ședință intreabă dacă mai este ceva de adăugat , nemaifiind supune la vot proiectul de hotărâre prezentat.</w:t>
      </w:r>
    </w:p>
    <w:p w:rsidR="00F37E21" w:rsidRPr="009645FE" w:rsidRDefault="00F37E21" w:rsidP="00F37E21">
      <w:r w:rsidRPr="009645FE">
        <w:t xml:space="preserve">    Din numarul total de  9 consilieri locali cati alcatuiesc consiliul local , din care </w:t>
      </w:r>
      <w:r>
        <w:t>8</w:t>
      </w:r>
      <w:r w:rsidRPr="009645FE">
        <w:t xml:space="preserve"> prezenți proiectul de hotărâre privind : aprobarea modificării organigramei și statului de funcții al aparatului de specialitate al primarului comunei Sfințești , județul Teleorman s-a aprobat dupa cum urmeaza : </w:t>
      </w:r>
      <w:r>
        <w:t>8</w:t>
      </w:r>
      <w:r w:rsidRPr="009645FE">
        <w:t xml:space="preserve"> </w:t>
      </w:r>
      <w:r w:rsidRPr="009645FE">
        <w:rPr>
          <w:b/>
        </w:rPr>
        <w:t xml:space="preserve"> </w:t>
      </w:r>
      <w:r w:rsidRPr="009645FE">
        <w:t xml:space="preserve">voturi pentru, …..  abţineri şi …voturi împotrivă din totalul de  </w:t>
      </w:r>
      <w:r>
        <w:t>8</w:t>
      </w:r>
      <w:r w:rsidRPr="009645FE">
        <w:t xml:space="preserve"> consilieri prezenţi .</w:t>
      </w:r>
    </w:p>
    <w:p w:rsidR="00F37E21" w:rsidRDefault="00F37E21" w:rsidP="00F37E21">
      <w:pPr>
        <w:ind w:firstLine="720"/>
      </w:pPr>
      <w:r>
        <w:t>DIVERSE :</w:t>
      </w:r>
    </w:p>
    <w:p w:rsidR="00F37E21" w:rsidRDefault="00F37E21" w:rsidP="00F37E21">
      <w:pPr>
        <w:ind w:firstLine="720"/>
      </w:pPr>
      <w:r>
        <w:t xml:space="preserve"> Domnul Primar , aduce la cunoștința consiliului local că in spațiul unde este cabinetul medical uman și oficiul postal ,nu exista contor electric și factura de electricitate vine la Primărie  Conform contractului de comodat incheiat in data de 01.09.2017 , comodatarul ( medicul de familie ) are obligatia  să suporte cheltuielile necesare  folosinței spațiului .</w:t>
      </w:r>
    </w:p>
    <w:p w:rsidR="00F37E21" w:rsidRDefault="00F37E21" w:rsidP="00F37E21">
      <w:pPr>
        <w:ind w:firstLine="720"/>
      </w:pPr>
      <w:r>
        <w:t>Este necesar să se facă contor separat , pentru că este consumul foarte mare , deoarece factorul postal consuma foarte putin fată de doctor .</w:t>
      </w:r>
    </w:p>
    <w:p w:rsidR="00F37E21" w:rsidRDefault="00F37E21" w:rsidP="00F37E21">
      <w:pPr>
        <w:ind w:firstLine="720"/>
      </w:pPr>
      <w:r>
        <w:t>De asemenea , domnul consilier Stanciu Dumitru cere lamuriri in ceea ce priveste proiectul pentru sisteme individuale ( haznale) .</w:t>
      </w:r>
    </w:p>
    <w:p w:rsidR="00F37E21" w:rsidRDefault="00F37E21" w:rsidP="00F37E21">
      <w:pPr>
        <w:ind w:firstLine="720"/>
      </w:pPr>
      <w:r>
        <w:t>Unde se vor face si daca este in proiect prevazuta si o statie de epurare + vidanjare .</w:t>
      </w:r>
    </w:p>
    <w:p w:rsidR="00F37E21" w:rsidRDefault="00F37E21" w:rsidP="00F37E21">
      <w:pPr>
        <w:ind w:firstLine="720"/>
      </w:pPr>
      <w:r>
        <w:t>Domnul primar  spune ca se vor face  in curte la cetateni si se va depune proiect si pentru statie de epurare .</w:t>
      </w:r>
    </w:p>
    <w:p w:rsidR="00F37E21" w:rsidRDefault="00F37E21" w:rsidP="00F37E21">
      <w:r>
        <w:t xml:space="preserve">    Președintele de ședință intreabă dacă mai sunt și alte probleme de discutat la ordinea de zi, nemaifiind declară lucrările ședinței inchise , drept pentru care inchei prezentul proces-verbal. </w:t>
      </w:r>
    </w:p>
    <w:p w:rsidR="00F37E21" w:rsidRDefault="00F37E21" w:rsidP="00F37E21">
      <w:pPr>
        <w:tabs>
          <w:tab w:val="left" w:pos="2120"/>
        </w:tabs>
      </w:pPr>
      <w:r>
        <w:tab/>
        <w:t xml:space="preserve">Președinte de ședință,           </w:t>
      </w:r>
    </w:p>
    <w:p w:rsidR="00F37E21" w:rsidRDefault="00F37E21" w:rsidP="00F37E21">
      <w:pPr>
        <w:tabs>
          <w:tab w:val="left" w:pos="2120"/>
        </w:tabs>
      </w:pPr>
      <w:r>
        <w:t xml:space="preserve">                                      PREDA IONEL                         </w:t>
      </w:r>
      <w:r>
        <w:tab/>
        <w:t xml:space="preserve">       Contrasemnează ,</w:t>
      </w:r>
    </w:p>
    <w:p w:rsidR="00F37E21" w:rsidRDefault="00F37E21" w:rsidP="00F37E21">
      <w:pPr>
        <w:tabs>
          <w:tab w:val="left" w:pos="6002"/>
        </w:tabs>
      </w:pPr>
      <w:r>
        <w:t xml:space="preserve">                                                                                                  Secretar General UAT ,</w:t>
      </w:r>
    </w:p>
    <w:p w:rsidR="00F37E21" w:rsidRPr="0049693A" w:rsidRDefault="00F37E21" w:rsidP="00F37E21">
      <w:pPr>
        <w:tabs>
          <w:tab w:val="left" w:pos="6002"/>
        </w:tabs>
      </w:pPr>
      <w:r>
        <w:t xml:space="preserve">                                                                                                 Florescu Liliana-Ionela</w:t>
      </w:r>
    </w:p>
    <w:p w:rsidR="00ED697F" w:rsidRDefault="00ED697F"/>
    <w:sectPr w:rsidR="00ED697F" w:rsidSect="00ED697F">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1EE460E"/>
    <w:multiLevelType w:val="singleLevel"/>
    <w:tmpl w:val="C4D6C27C"/>
    <w:lvl w:ilvl="0">
      <w:numFmt w:val="bullet"/>
      <w:lvlText w:val="-"/>
      <w:lvlJc w:val="left"/>
      <w:pPr>
        <w:tabs>
          <w:tab w:val="num" w:pos="360"/>
        </w:tabs>
        <w:ind w:left="360" w:hanging="360"/>
      </w:pPr>
      <w:rPr>
        <w:rFont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2"/>
  <w:doNotDisplayPageBoundaries/>
  <w:proofState w:grammar="clean"/>
  <w:defaultTabStop w:val="720"/>
  <w:characterSpacingControl w:val="doNotCompress"/>
  <w:compat/>
  <w:rsids>
    <w:rsidRoot w:val="00F37E21"/>
    <w:rsid w:val="00A96D51"/>
    <w:rsid w:val="00ED697F"/>
    <w:rsid w:val="00F37E21"/>
    <w:rsid w:val="00F4276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37E21"/>
    <w:pPr>
      <w:spacing w:after="0" w:line="240" w:lineRule="auto"/>
    </w:pPr>
    <w:rPr>
      <w:rFonts w:ascii="Times New Roman" w:eastAsia="Times New Roman" w:hAnsi="Times New Roman" w:cs="Times New Roman"/>
      <w:sz w:val="24"/>
      <w:szCs w:val="24"/>
      <w:lang w:val="ro-RO" w:eastAsia="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96D51"/>
    <w:pPr>
      <w:ind w:left="720"/>
      <w:contextualSpacing/>
    </w:pPr>
  </w:style>
  <w:style w:type="paragraph" w:styleId="NoSpacing">
    <w:name w:val="No Spacing"/>
    <w:link w:val="NoSpacingChar"/>
    <w:uiPriority w:val="1"/>
    <w:qFormat/>
    <w:rsid w:val="00F37E21"/>
    <w:pPr>
      <w:spacing w:after="0" w:line="240" w:lineRule="auto"/>
    </w:pPr>
  </w:style>
  <w:style w:type="character" w:customStyle="1" w:styleId="NoSpacingChar">
    <w:name w:val="No Spacing Char"/>
    <w:link w:val="NoSpacing"/>
    <w:uiPriority w:val="1"/>
    <w:rsid w:val="00F37E21"/>
  </w:style>
  <w:style w:type="table" w:styleId="TableGrid">
    <w:name w:val="Table Grid"/>
    <w:basedOn w:val="TableNormal"/>
    <w:uiPriority w:val="59"/>
    <w:rsid w:val="00F37E21"/>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9</Pages>
  <Words>4422</Words>
  <Characters>25208</Characters>
  <Application>Microsoft Office Word</Application>
  <DocSecurity>0</DocSecurity>
  <Lines>210</Lines>
  <Paragraphs>59</Paragraphs>
  <ScaleCrop>false</ScaleCrop>
  <Company/>
  <LinksUpToDate>false</LinksUpToDate>
  <CharactersWithSpaces>29571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Secretariat</dc:creator>
  <cp:lastModifiedBy>Secretariat</cp:lastModifiedBy>
  <cp:revision>1</cp:revision>
  <dcterms:created xsi:type="dcterms:W3CDTF">2023-06-29T10:29:00Z</dcterms:created>
  <dcterms:modified xsi:type="dcterms:W3CDTF">2023-06-29T10:32:00Z</dcterms:modified>
</cp:coreProperties>
</file>